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6 - Answer Key</w:t>
      </w:r>
    </w:p>
    <w:p>
      <w:pPr>
        <w:pStyle w:val="Heading2"/>
      </w:pPr>
      <w:r>
        <w:t>MCQ</w:t>
      </w:r>
    </w:p>
    <w:p>
      <w:r>
        <w:rPr>
          <w:sz w:val="22"/>
        </w:rPr>
        <w:t>1. [cd_overview_mcq_01] Periodontal Disease</w:t>
      </w:r>
    </w:p>
    <w:p>
      <w:r>
        <w:rPr>
          <w:sz w:val="22"/>
        </w:rPr>
        <w:t>2. [l5_ant_arrange_mcq_07] G (51.50 to 54.00 mm)</w:t>
      </w:r>
    </w:p>
    <w:p>
      <w:r>
        <w:rPr>
          <w:sz w:val="22"/>
        </w:rPr>
        <w:t>3. [l5_ant_arrange_mcq_11] Triangular</w:t>
      </w:r>
    </w:p>
    <w:p>
      <w:r>
        <w:rPr>
          <w:sz w:val="22"/>
        </w:rPr>
        <w:t>4. [l4_mmr_mcq_07] Kinematic locates the patient's true terminal hinge axis; Arbitrary uses anatomical landmarks (e.g., external auditory meatus) as an estimate.</w:t>
      </w:r>
    </w:p>
    <w:p>
      <w:r>
        <w:rPr>
          <w:sz w:val="22"/>
        </w:rPr>
        <w:t>5. [l2_eval_imp_mcq_10] It weakens the surface of the alginate material.</w:t>
      </w:r>
    </w:p>
    <w:p>
      <w:r>
        <w:rPr>
          <w:sz w:val="22"/>
        </w:rPr>
        <w:t>6. [l5_ant_arrange_mcq_06] 24</w:t>
      </w:r>
    </w:p>
    <w:p>
      <w:r>
        <w:rPr>
          <w:sz w:val="22"/>
        </w:rPr>
        <w:t>7. [cd_overview_mcq_07] It was porous and collected plaque easily.</w:t>
      </w:r>
    </w:p>
    <w:p>
      <w:r>
        <w:rPr>
          <w:sz w:val="22"/>
        </w:rPr>
        <w:t>8. [l4_mmr_mcq_10] The condylar guidance (sagittal slope)</w:t>
      </w:r>
    </w:p>
    <w:p>
      <w:r>
        <w:rPr>
          <w:sz w:val="22"/>
        </w:rPr>
        <w:t>9. [l6_mcq_07] Mesiolingual cusp</w:t>
      </w:r>
    </w:p>
    <w:p>
      <w:r>
        <w:rPr>
          <w:sz w:val="22"/>
        </w:rPr>
        <w:t>10. [cd_overview_mcq_15] Denture stomatitis</w:t>
      </w:r>
    </w:p>
    <w:p>
      <w:pPr>
        <w:pStyle w:val="Heading2"/>
      </w:pPr>
      <w:r>
        <w:t>SAQ</w:t>
      </w:r>
    </w:p>
    <w:p>
      <w:r>
        <w:rPr>
          <w:sz w:val="22"/>
        </w:rPr>
        <w:t>11. [l4_mmr_saq_01] The provided sources do not list, define, or compare different occlusal schemes (such as balanced occlusion, lingualised occlusion, or monoplane occlusion). Therefore, it is impossible to state 'all the occlusal schemes' or which ones are recommended based on the text. However, the sources emphasize that understanding static and functional dental contacts is key to good clinical practice. The clinical steps focus on establishing parameters for a functional occlusion, such as: establishing the occlusal plane (parallel to Camper’s plane), determining the OVD, and registering centric/eccentric relations.</w:t>
      </w:r>
    </w:p>
    <w:p>
      <w:r>
        <w:rPr>
          <w:sz w:val="22"/>
        </w:rPr>
        <w:t>12. [l5_ant_arrange_saq_01] Shade should harmonize with the patient's complexion (hair, skin, and eyes); for example, blondes/redheads often have yellow/brown shades, while black/grey-haired patients have blue/grey shades. Natural teeth darken with age. The shade should gradate (darker at gingival margin, more translucent at incisal tip) and vary between pairs (centrals &lt; laterals &lt; canines). Clinically, do not let the patient select from the full shade guide; instead, present a limited selection of 2-3 harmonious shades.</w:t>
      </w:r>
    </w:p>
    <w:p>
      <w:r>
        <w:rPr>
          <w:sz w:val="22"/>
        </w:rPr>
        <w:t>13. [cd_overview_saq_01] Edentulism leads to impaired mastication by reducing bite strength and masticatory force to about one-fifth to one-quarter of that of a dentate individual. Consequently, complete denture wearers require seven times more chewing strokes to process food, and the condition is also associated with muscular atrophy.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