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11ECF" w14:textId="77777777" w:rsidR="00826849" w:rsidRPr="0006202A" w:rsidRDefault="00000000" w:rsidP="004D2F77">
      <w:pPr>
        <w:spacing w:after="60"/>
        <w:jc w:val="center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  <w:sz w:val="50"/>
        </w:rPr>
        <w:t>Comprehensive PICCS Guided Workbook</w:t>
      </w:r>
    </w:p>
    <w:p w14:paraId="2F97BCF3" w14:textId="77777777" w:rsidR="00826849" w:rsidRPr="0006202A" w:rsidRDefault="00000000">
      <w:pPr>
        <w:spacing w:after="240"/>
        <w:rPr>
          <w:rFonts w:ascii="Arial" w:hAnsi="Arial" w:cs="Arial"/>
        </w:rPr>
      </w:pPr>
      <w:r w:rsidRPr="0006202A">
        <w:rPr>
          <w:rFonts w:ascii="Arial" w:hAnsi="Arial" w:cs="Arial"/>
          <w:color w:val="5B6573"/>
          <w:sz w:val="24"/>
        </w:rPr>
        <w:t>Population-Informed Clinical Case Summary with scored determinants, intersectionality, reflection and completion guidance</w:t>
      </w:r>
    </w:p>
    <w:tbl>
      <w:tblPr>
        <w:tblW w:w="9360" w:type="dxa"/>
        <w:tblInd w:w="120" w:type="dxa"/>
        <w:tblBorders>
          <w:top w:val="single" w:sz="0" w:space="0" w:color="EAF2F8"/>
          <w:left w:val="single" w:sz="0" w:space="0" w:color="EAF2F8"/>
          <w:bottom w:val="single" w:sz="0" w:space="0" w:color="EAF2F8"/>
          <w:right w:val="single" w:sz="0" w:space="0" w:color="EAF2F8"/>
          <w:insideH w:val="single" w:sz="0" w:space="0" w:color="EAF2F8"/>
          <w:insideV w:val="single" w:sz="0" w:space="0" w:color="EAF2F8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26849" w:rsidRPr="0006202A" w14:paraId="6F37F788" w14:textId="77777777">
        <w:trPr>
          <w:tblHeader/>
        </w:trPr>
        <w:tc>
          <w:tcPr>
            <w:tcW w:w="9360" w:type="dxa"/>
            <w:shd w:val="clear" w:color="auto" w:fill="EAF2F8"/>
          </w:tcPr>
          <w:p w14:paraId="6B387045" w14:textId="2BADE051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8"/>
              </w:rPr>
              <w:t>Purpose</w:t>
            </w:r>
            <w:r w:rsidR="0006202A">
              <w:rPr>
                <w:rFonts w:ascii="Arial" w:hAnsi="Arial" w:cs="Arial"/>
                <w:b/>
                <w:color w:val="17365D"/>
                <w:sz w:val="18"/>
              </w:rPr>
              <w:t xml:space="preserve">: </w:t>
            </w:r>
            <w:r w:rsidRPr="0006202A">
              <w:rPr>
                <w:rFonts w:ascii="Arial" w:hAnsi="Arial" w:cs="Arial"/>
                <w:b/>
                <w:color w:val="17365D"/>
                <w:sz w:val="18"/>
              </w:rPr>
              <w:t>To integrate biomedical findings, medical-social interactions, determinants of health, patient agency, power and intersectionality. Record the initial treatment plan only in the Case Overview; use subsequent sections to explain the case rather than provide a model management solution.</w:t>
            </w:r>
          </w:p>
        </w:tc>
      </w:tr>
      <w:tr w:rsidR="00FE7D40" w:rsidRPr="0006202A" w14:paraId="55EB35F4" w14:textId="77777777">
        <w:trPr>
          <w:tblHeader/>
        </w:trPr>
        <w:tc>
          <w:tcPr>
            <w:tcW w:w="9360" w:type="dxa"/>
            <w:shd w:val="clear" w:color="auto" w:fill="EAF2F8"/>
          </w:tcPr>
          <w:p w14:paraId="70E8DF08" w14:textId="77777777" w:rsidR="0006202A" w:rsidRDefault="0006202A">
            <w:pPr>
              <w:spacing w:after="0"/>
              <w:rPr>
                <w:rFonts w:ascii="Arial" w:hAnsi="Arial" w:cs="Arial"/>
                <w:b/>
                <w:color w:val="17365D"/>
                <w:sz w:val="18"/>
              </w:rPr>
            </w:pPr>
          </w:p>
          <w:p w14:paraId="51200EF9" w14:textId="488351E0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8"/>
              </w:rPr>
              <w:t>How to use this workbook</w:t>
            </w:r>
            <w:r w:rsidR="0006202A">
              <w:rPr>
                <w:rFonts w:ascii="Arial" w:hAnsi="Arial" w:cs="Arial"/>
                <w:b/>
                <w:color w:val="17365D"/>
                <w:sz w:val="18"/>
              </w:rPr>
              <w:t>:</w:t>
            </w:r>
            <w:r w:rsidRPr="0006202A">
              <w:rPr>
                <w:rFonts w:ascii="Arial" w:hAnsi="Arial" w:cs="Arial"/>
                <w:b/>
                <w:color w:val="17365D"/>
                <w:sz w:val="18"/>
              </w:rPr>
              <w:t xml:space="preserve"> Work sequentially. Begin with the biomedical case overview, then identify what the biomedical account does not explain. Use patient-specific evidence, assign determinant codes, trace causal pathways, examine power and intersections, and finally write the integrated PICCS. Record unknowns explicitly and revise the analysis when new information becomes available.</w:t>
            </w:r>
          </w:p>
        </w:tc>
      </w:tr>
    </w:tbl>
    <w:p w14:paraId="3B81C721" w14:textId="77777777" w:rsidR="00826849" w:rsidRPr="0006202A" w:rsidRDefault="00826849">
      <w:pPr>
        <w:spacing w:after="20"/>
        <w:rPr>
          <w:rFonts w:ascii="Arial" w:hAnsi="Arial" w:cs="Arial"/>
        </w:rPr>
      </w:pPr>
    </w:p>
    <w:p w14:paraId="7CC10FA1" w14:textId="77777777" w:rsidR="00826849" w:rsidRPr="0006202A" w:rsidRDefault="00000000">
      <w:pPr>
        <w:pStyle w:val="Heading1"/>
        <w:rPr>
          <w:rFonts w:ascii="Arial" w:hAnsi="Arial" w:cs="Arial"/>
        </w:rPr>
      </w:pPr>
      <w:r w:rsidRPr="0006202A">
        <w:rPr>
          <w:rFonts w:ascii="Arial" w:hAnsi="Arial" w:cs="Arial"/>
        </w:rPr>
        <w:t xml:space="preserve">Part 1. Case Overview </w:t>
      </w:r>
    </w:p>
    <w:p w14:paraId="1581A11B" w14:textId="77777777" w:rsidR="00826849" w:rsidRPr="0006202A" w:rsidRDefault="00000000">
      <w:pPr>
        <w:rPr>
          <w:rFonts w:ascii="Arial" w:hAnsi="Arial" w:cs="Arial"/>
        </w:rPr>
      </w:pPr>
      <w:r w:rsidRPr="0006202A">
        <w:rPr>
          <w:rFonts w:ascii="Arial" w:hAnsi="Arial" w:cs="Arial"/>
        </w:rPr>
        <w:t>Provide a concise, de-identified biomedical account of the patient and the care proposed before applying the population-informed analysis. Complete all five components below. Do not include identifiable information.</w:t>
      </w:r>
    </w:p>
    <w:p w14:paraId="290E47FA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complete Part 1</w:t>
      </w:r>
    </w:p>
    <w:p w14:paraId="23EBFA05" w14:textId="17930382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Purpose: </w:t>
      </w:r>
      <w:r w:rsidRPr="0006202A">
        <w:rPr>
          <w:rFonts w:ascii="Arial" w:hAnsi="Arial" w:cs="Arial"/>
        </w:rPr>
        <w:t xml:space="preserve">Provide the conventional clinical starting point before adding population-informed reasoning. </w:t>
      </w:r>
    </w:p>
    <w:p w14:paraId="2EE34E23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De-identified demographics: </w:t>
      </w:r>
      <w:r w:rsidRPr="0006202A">
        <w:rPr>
          <w:rFonts w:ascii="Arial" w:hAnsi="Arial" w:cs="Arial"/>
        </w:rPr>
        <w:t>Include only clinically relevant age range, gender identity if relevant, broad cultural background, living context and service eligibility. Remove names, addresses, exact dates and other identifiers.</w:t>
      </w:r>
    </w:p>
    <w:p w14:paraId="613950A8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Clinical presentation: </w:t>
      </w:r>
      <w:r w:rsidRPr="0006202A">
        <w:rPr>
          <w:rFonts w:ascii="Arial" w:hAnsi="Arial" w:cs="Arial"/>
        </w:rPr>
        <w:t>Explain why the patient attended, the main complaint, symptoms, duration and relevant history in the patient’s words where possible.</w:t>
      </w:r>
    </w:p>
    <w:p w14:paraId="6ED822DB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Examination findings: </w:t>
      </w:r>
      <w:r w:rsidRPr="0006202A">
        <w:rPr>
          <w:rFonts w:ascii="Arial" w:hAnsi="Arial" w:cs="Arial"/>
        </w:rPr>
        <w:t xml:space="preserve">Record objective </w:t>
      </w:r>
      <w:proofErr w:type="gramStart"/>
      <w:r w:rsidRPr="0006202A">
        <w:rPr>
          <w:rFonts w:ascii="Arial" w:hAnsi="Arial" w:cs="Arial"/>
        </w:rPr>
        <w:t>extra-oral</w:t>
      </w:r>
      <w:proofErr w:type="gramEnd"/>
      <w:r w:rsidRPr="0006202A">
        <w:rPr>
          <w:rFonts w:ascii="Arial" w:hAnsi="Arial" w:cs="Arial"/>
        </w:rPr>
        <w:t>, intra-oral, periodontal, dental, radiographic and other relevant findings. Distinguish observed findings from patient-reported symptoms.</w:t>
      </w:r>
    </w:p>
    <w:p w14:paraId="74BE25FD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Diagnosis: </w:t>
      </w:r>
      <w:r w:rsidRPr="0006202A">
        <w:rPr>
          <w:rFonts w:ascii="Arial" w:hAnsi="Arial" w:cs="Arial"/>
        </w:rPr>
        <w:t>State the clinical diagnosis or differential diagnosis supported by the available evidence. Identify uncertainty if investigations are incomplete.</w:t>
      </w:r>
    </w:p>
    <w:p w14:paraId="3DC4539F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Initial treatment plan: </w:t>
      </w:r>
      <w:r w:rsidRPr="0006202A">
        <w:rPr>
          <w:rFonts w:ascii="Arial" w:hAnsi="Arial" w:cs="Arial"/>
        </w:rPr>
        <w:t>Record the plan developed from the initial clinical assessment before completing the broader PICCS analysis. This provides a reference point for later reflection.</w:t>
      </w:r>
    </w:p>
    <w:p w14:paraId="2FC8C637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Avoid including social interpretation or an extensive determinant analysis here; that belongs in later sections.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826849" w:rsidRPr="0006202A" w14:paraId="24E38BAE" w14:textId="77777777">
        <w:trPr>
          <w:tblHeader/>
        </w:trPr>
        <w:tc>
          <w:tcPr>
            <w:tcW w:w="2100" w:type="dxa"/>
            <w:shd w:val="clear" w:color="auto" w:fill="2E74B5"/>
          </w:tcPr>
          <w:p w14:paraId="44690273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7"/>
              </w:rPr>
              <w:t>Case component</w:t>
            </w:r>
          </w:p>
        </w:tc>
        <w:tc>
          <w:tcPr>
            <w:tcW w:w="7260" w:type="dxa"/>
            <w:shd w:val="clear" w:color="auto" w:fill="2E74B5"/>
          </w:tcPr>
          <w:p w14:paraId="0B8FC0C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7"/>
              </w:rPr>
              <w:t>Student response</w:t>
            </w:r>
          </w:p>
        </w:tc>
      </w:tr>
      <w:tr w:rsidR="00826849" w:rsidRPr="0006202A" w14:paraId="3CAE3898" w14:textId="77777777">
        <w:tc>
          <w:tcPr>
            <w:tcW w:w="2100" w:type="dxa"/>
          </w:tcPr>
          <w:p w14:paraId="48724F94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7"/>
              </w:rPr>
              <w:t>De-identified patient demographics</w:t>
            </w:r>
          </w:p>
        </w:tc>
        <w:tc>
          <w:tcPr>
            <w:tcW w:w="7260" w:type="dxa"/>
          </w:tcPr>
          <w:p w14:paraId="6463B189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5F9ECDA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A4372C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898101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4217940F" w14:textId="77777777">
        <w:tc>
          <w:tcPr>
            <w:tcW w:w="2100" w:type="dxa"/>
            <w:shd w:val="clear" w:color="auto" w:fill="F4F6F9"/>
          </w:tcPr>
          <w:p w14:paraId="02BDEAD3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7"/>
              </w:rPr>
              <w:t>Clinical presentation</w:t>
            </w:r>
          </w:p>
        </w:tc>
        <w:tc>
          <w:tcPr>
            <w:tcW w:w="7260" w:type="dxa"/>
            <w:shd w:val="clear" w:color="auto" w:fill="F4F6F9"/>
          </w:tcPr>
          <w:p w14:paraId="4AE65EB1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02CB956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730615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6144D2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3DFF71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372A19F1" w14:textId="77777777">
        <w:tc>
          <w:tcPr>
            <w:tcW w:w="2100" w:type="dxa"/>
          </w:tcPr>
          <w:p w14:paraId="1D97E7B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7"/>
              </w:rPr>
              <w:t>Examination findings</w:t>
            </w:r>
          </w:p>
        </w:tc>
        <w:tc>
          <w:tcPr>
            <w:tcW w:w="7260" w:type="dxa"/>
          </w:tcPr>
          <w:p w14:paraId="67A0BF94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1CE26CC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573EA3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AEDAE6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4B487E8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2A8B3A97" w14:textId="77777777">
        <w:tc>
          <w:tcPr>
            <w:tcW w:w="2100" w:type="dxa"/>
            <w:shd w:val="clear" w:color="auto" w:fill="F4F6F9"/>
          </w:tcPr>
          <w:p w14:paraId="65320EC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7"/>
              </w:rPr>
              <w:lastRenderedPageBreak/>
              <w:t>Diagnosis</w:t>
            </w:r>
          </w:p>
        </w:tc>
        <w:tc>
          <w:tcPr>
            <w:tcW w:w="7260" w:type="dxa"/>
            <w:shd w:val="clear" w:color="auto" w:fill="F4F6F9"/>
          </w:tcPr>
          <w:p w14:paraId="4C6E25DC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38AF57E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9CBA00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3C7942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303CD18D" w14:textId="77777777">
        <w:tc>
          <w:tcPr>
            <w:tcW w:w="2100" w:type="dxa"/>
          </w:tcPr>
          <w:p w14:paraId="3A5382F4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7"/>
              </w:rPr>
              <w:t>Initial treatment plan</w:t>
            </w:r>
          </w:p>
        </w:tc>
        <w:tc>
          <w:tcPr>
            <w:tcW w:w="7260" w:type="dxa"/>
          </w:tcPr>
          <w:p w14:paraId="30D3AB26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4359A8D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1AF50B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DB86C0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715F3F5" w14:textId="77777777" w:rsidR="00826849" w:rsidRPr="0006202A" w:rsidRDefault="00826849">
            <w:pPr>
              <w:spacing w:before="80" w:after="160"/>
              <w:rPr>
                <w:rFonts w:ascii="Arial" w:hAnsi="Arial" w:cs="Arial"/>
              </w:rPr>
            </w:pPr>
          </w:p>
        </w:tc>
      </w:tr>
    </w:tbl>
    <w:p w14:paraId="283FD601" w14:textId="77777777" w:rsidR="00826849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Ground rules</w:t>
      </w:r>
    </w:p>
    <w:p w14:paraId="3401BEA7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Separate facts, patient-reported experiences, interpretations and unknown information.</w:t>
      </w:r>
    </w:p>
    <w:p w14:paraId="41FBE1C9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 xml:space="preserve">Do not assign medical, </w:t>
      </w:r>
      <w:proofErr w:type="gramStart"/>
      <w:r w:rsidRPr="0006202A">
        <w:rPr>
          <w:rFonts w:ascii="Arial" w:hAnsi="Arial" w:cs="Arial"/>
        </w:rPr>
        <w:t>mental-health</w:t>
      </w:r>
      <w:proofErr w:type="gramEnd"/>
      <w:r w:rsidRPr="0006202A">
        <w:rPr>
          <w:rFonts w:ascii="Arial" w:hAnsi="Arial" w:cs="Arial"/>
        </w:rPr>
        <w:t>, grief or trauma-related diagnoses without appropriate evidence.</w:t>
      </w:r>
    </w:p>
    <w:p w14:paraId="7711C30B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Do not treat identity, culture, gender, family status, disability or socioeconomic position as pathology.</w:t>
      </w:r>
    </w:p>
    <w:p w14:paraId="7F7473D4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Respect informed refusal, patient autonomy, privacy and the right not to disclose.</w:t>
      </w:r>
    </w:p>
    <w:p w14:paraId="318C8F84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Avoid “non-compliant,” “difficult” or blame-based descriptions.</w:t>
      </w:r>
    </w:p>
    <w:p w14:paraId="786A8C66" w14:textId="77777777" w:rsidR="00826849" w:rsidRPr="0006202A" w:rsidRDefault="00000000">
      <w:pPr>
        <w:pStyle w:val="ListBullet"/>
        <w:rPr>
          <w:rFonts w:ascii="Arial" w:hAnsi="Arial" w:cs="Arial"/>
        </w:rPr>
      </w:pPr>
      <w:proofErr w:type="spellStart"/>
      <w:r w:rsidRPr="0006202A">
        <w:rPr>
          <w:rFonts w:ascii="Arial" w:hAnsi="Arial" w:cs="Arial"/>
        </w:rPr>
        <w:t>Analyse</w:t>
      </w:r>
      <w:proofErr w:type="spellEnd"/>
      <w:r w:rsidRPr="0006202A">
        <w:rPr>
          <w:rFonts w:ascii="Arial" w:hAnsi="Arial" w:cs="Arial"/>
        </w:rPr>
        <w:t xml:space="preserve"> how systems and clinical practices may shape the encounter; do not locate responsibility only within the patient.</w:t>
      </w:r>
    </w:p>
    <w:p w14:paraId="2A990FE7" w14:textId="77777777" w:rsidR="00826849" w:rsidRPr="0006202A" w:rsidRDefault="00000000">
      <w:pPr>
        <w:rPr>
          <w:rFonts w:ascii="Arial" w:hAnsi="Arial" w:cs="Arial"/>
        </w:rPr>
      </w:pPr>
      <w:r w:rsidRPr="0006202A">
        <w:rPr>
          <w:rFonts w:ascii="Arial" w:hAnsi="Arial" w:cs="Arial"/>
        </w:rPr>
        <w:br w:type="page"/>
      </w:r>
    </w:p>
    <w:p w14:paraId="4D03EBA8" w14:textId="77777777" w:rsidR="00826849" w:rsidRPr="0006202A" w:rsidRDefault="00000000">
      <w:pPr>
        <w:pStyle w:val="Heading1"/>
        <w:rPr>
          <w:rFonts w:ascii="Arial" w:hAnsi="Arial" w:cs="Arial"/>
        </w:rPr>
      </w:pPr>
      <w:r w:rsidRPr="0006202A">
        <w:rPr>
          <w:rFonts w:ascii="Arial" w:hAnsi="Arial" w:cs="Arial"/>
        </w:rPr>
        <w:lastRenderedPageBreak/>
        <w:t>Part 2. Biomedical and functional clinical profile</w:t>
      </w:r>
    </w:p>
    <w:p w14:paraId="2A746499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complete the biomedical and functional profile</w:t>
      </w:r>
    </w:p>
    <w:p w14:paraId="4E440FE2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Clinical area: </w:t>
      </w:r>
      <w:r w:rsidRPr="0006202A">
        <w:rPr>
          <w:rFonts w:ascii="Arial" w:hAnsi="Arial" w:cs="Arial"/>
        </w:rPr>
        <w:t xml:space="preserve">Use the existing row labels to </w:t>
      </w:r>
      <w:proofErr w:type="spellStart"/>
      <w:r w:rsidRPr="0006202A">
        <w:rPr>
          <w:rFonts w:ascii="Arial" w:hAnsi="Arial" w:cs="Arial"/>
        </w:rPr>
        <w:t>organise</w:t>
      </w:r>
      <w:proofErr w:type="spellEnd"/>
      <w:r w:rsidRPr="0006202A">
        <w:rPr>
          <w:rFonts w:ascii="Arial" w:hAnsi="Arial" w:cs="Arial"/>
        </w:rPr>
        <w:t xml:space="preserve"> the oral-health problem.</w:t>
      </w:r>
    </w:p>
    <w:p w14:paraId="242223D3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Evidence from case overview / clinical record: </w:t>
      </w:r>
      <w:r w:rsidRPr="0006202A">
        <w:rPr>
          <w:rFonts w:ascii="Arial" w:hAnsi="Arial" w:cs="Arial"/>
        </w:rPr>
        <w:t>Enter concrete symptoms, examination findings, test results and documented history. Quote or paraphrase the patient clearly when information is patient-reported.</w:t>
      </w:r>
    </w:p>
    <w:p w14:paraId="4CC51D82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Significance / severity: </w:t>
      </w:r>
      <w:r w:rsidRPr="0006202A">
        <w:rPr>
          <w:rFonts w:ascii="Arial" w:hAnsi="Arial" w:cs="Arial"/>
        </w:rPr>
        <w:t>Explain what the finding means clinically: severity, activity, urgency, functional effect, prognosis or risk of progression.</w:t>
      </w:r>
    </w:p>
    <w:p w14:paraId="4109E57C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Unknown information needed: </w:t>
      </w:r>
      <w:r w:rsidRPr="0006202A">
        <w:rPr>
          <w:rFonts w:ascii="Arial" w:hAnsi="Arial" w:cs="Arial"/>
        </w:rPr>
        <w:t>List missing examinations, investigations or history needed before drawing a conclusion.</w:t>
      </w:r>
    </w:p>
    <w:p w14:paraId="33B5970C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Do not repeat the same diagnosis in every column; each column performs a different reasoning task.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00"/>
        <w:gridCol w:w="2380"/>
        <w:gridCol w:w="2380"/>
      </w:tblGrid>
      <w:tr w:rsidR="00826849" w:rsidRPr="0006202A" w14:paraId="0E1896F1" w14:textId="77777777">
        <w:trPr>
          <w:tblHeader/>
        </w:trPr>
        <w:tc>
          <w:tcPr>
            <w:tcW w:w="1800" w:type="dxa"/>
            <w:shd w:val="clear" w:color="auto" w:fill="2E74B5"/>
          </w:tcPr>
          <w:p w14:paraId="5870686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Clinical area</w:t>
            </w:r>
          </w:p>
        </w:tc>
        <w:tc>
          <w:tcPr>
            <w:tcW w:w="2800" w:type="dxa"/>
            <w:shd w:val="clear" w:color="auto" w:fill="2E74B5"/>
          </w:tcPr>
          <w:p w14:paraId="6B61DE01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Evidence from case overview / clinical record</w:t>
            </w:r>
          </w:p>
        </w:tc>
        <w:tc>
          <w:tcPr>
            <w:tcW w:w="2380" w:type="dxa"/>
            <w:shd w:val="clear" w:color="auto" w:fill="2E74B5"/>
          </w:tcPr>
          <w:p w14:paraId="248EBB1C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Significance / severity</w:t>
            </w:r>
          </w:p>
        </w:tc>
        <w:tc>
          <w:tcPr>
            <w:tcW w:w="2380" w:type="dxa"/>
            <w:shd w:val="clear" w:color="auto" w:fill="2E74B5"/>
          </w:tcPr>
          <w:p w14:paraId="12ACE6A2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Unknown information needed</w:t>
            </w:r>
          </w:p>
        </w:tc>
      </w:tr>
      <w:tr w:rsidR="00826849" w:rsidRPr="0006202A" w14:paraId="5519848F" w14:textId="77777777">
        <w:tc>
          <w:tcPr>
            <w:tcW w:w="1800" w:type="dxa"/>
          </w:tcPr>
          <w:p w14:paraId="606356F8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6"/>
              </w:rPr>
              <w:t>Presenting problem and diagnosis</w:t>
            </w:r>
          </w:p>
        </w:tc>
        <w:tc>
          <w:tcPr>
            <w:tcW w:w="2800" w:type="dxa"/>
          </w:tcPr>
          <w:p w14:paraId="5E0C438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7869CC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239743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112CD188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F6EF69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EF6004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1E766BE8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016664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65E276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4C1FD127" w14:textId="77777777">
        <w:tc>
          <w:tcPr>
            <w:tcW w:w="1800" w:type="dxa"/>
          </w:tcPr>
          <w:p w14:paraId="4EFF575C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6"/>
              </w:rPr>
              <w:t>Oral examination / investigations</w:t>
            </w:r>
          </w:p>
        </w:tc>
        <w:tc>
          <w:tcPr>
            <w:tcW w:w="2800" w:type="dxa"/>
          </w:tcPr>
          <w:p w14:paraId="34C7567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E4CD83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510812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2537FC6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FDAD49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91A37D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3DDBFEC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BC903F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9A8CF2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45CE8590" w14:textId="77777777">
        <w:tc>
          <w:tcPr>
            <w:tcW w:w="1800" w:type="dxa"/>
          </w:tcPr>
          <w:p w14:paraId="7BA791AB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6"/>
              </w:rPr>
              <w:t>Risks and protective clinical factors</w:t>
            </w:r>
          </w:p>
        </w:tc>
        <w:tc>
          <w:tcPr>
            <w:tcW w:w="2800" w:type="dxa"/>
          </w:tcPr>
          <w:p w14:paraId="668C386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C5D3EE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043228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7A912DA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E911C8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FFF93F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5ADB9A4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5B9ACA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F21FC0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1EE6CA2B" w14:textId="77777777" w:rsidR="00826849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Patient priorities, preferences and agency</w:t>
      </w:r>
    </w:p>
    <w:p w14:paraId="16E699D5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complete patient priorities, preferences and agency</w:t>
      </w:r>
    </w:p>
    <w:p w14:paraId="27A83B6D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What is known? </w:t>
      </w:r>
      <w:r w:rsidRPr="0006202A">
        <w:rPr>
          <w:rFonts w:ascii="Arial" w:hAnsi="Arial" w:cs="Arial"/>
        </w:rPr>
        <w:t>Record what the patient has explicitly said or demonstrated about goals, concerns, preferences, limits, strengths and coping.</w:t>
      </w:r>
    </w:p>
    <w:p w14:paraId="7BFC7D2A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What needs to be asked? </w:t>
      </w:r>
      <w:r w:rsidRPr="0006202A">
        <w:rPr>
          <w:rFonts w:ascii="Arial" w:hAnsi="Arial" w:cs="Arial"/>
        </w:rPr>
        <w:t>Write respectful questions needed to understand the patient’s priorities. Use open questions and ask permission for sensitive topics.</w:t>
      </w:r>
    </w:p>
    <w:p w14:paraId="205AB9C8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How will the patient’s voice be represented? </w:t>
      </w:r>
      <w:r w:rsidRPr="0006202A">
        <w:rPr>
          <w:rFonts w:ascii="Arial" w:hAnsi="Arial" w:cs="Arial"/>
        </w:rPr>
        <w:t>Show how the case summary will preserve the patient’s perspective rather than translating everything into professional language.</w:t>
      </w:r>
    </w:p>
    <w:p w14:paraId="5395FB82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Agency: </w:t>
      </w:r>
      <w:r w:rsidRPr="0006202A">
        <w:rPr>
          <w:rFonts w:ascii="Arial" w:hAnsi="Arial" w:cs="Arial"/>
        </w:rPr>
        <w:t>Look for choices, knowledge, persistence, relationships, skills and boundary-setting—not only barriers.</w:t>
      </w:r>
    </w:p>
    <w:p w14:paraId="3BDE7980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Do not assume that accepting the clinician’s preferred treatment is the only evidence of motivation or agency.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2700"/>
        <w:gridCol w:w="2380"/>
        <w:gridCol w:w="2380"/>
      </w:tblGrid>
      <w:tr w:rsidR="00826849" w:rsidRPr="0006202A" w14:paraId="6793DAEF" w14:textId="77777777">
        <w:trPr>
          <w:tblHeader/>
        </w:trPr>
        <w:tc>
          <w:tcPr>
            <w:tcW w:w="1900" w:type="dxa"/>
            <w:shd w:val="clear" w:color="auto" w:fill="2E74B5"/>
          </w:tcPr>
          <w:p w14:paraId="60E8041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Area</w:t>
            </w:r>
          </w:p>
        </w:tc>
        <w:tc>
          <w:tcPr>
            <w:tcW w:w="2700" w:type="dxa"/>
            <w:shd w:val="clear" w:color="auto" w:fill="2E74B5"/>
          </w:tcPr>
          <w:p w14:paraId="3FF178A3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What is known?</w:t>
            </w:r>
          </w:p>
        </w:tc>
        <w:tc>
          <w:tcPr>
            <w:tcW w:w="2380" w:type="dxa"/>
            <w:shd w:val="clear" w:color="auto" w:fill="2E74B5"/>
          </w:tcPr>
          <w:p w14:paraId="2DADEB58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What needs to be asked?</w:t>
            </w:r>
          </w:p>
        </w:tc>
        <w:tc>
          <w:tcPr>
            <w:tcW w:w="2380" w:type="dxa"/>
            <w:shd w:val="clear" w:color="auto" w:fill="2E74B5"/>
          </w:tcPr>
          <w:p w14:paraId="042A588D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How will the patient’s voice be represented?</w:t>
            </w:r>
          </w:p>
        </w:tc>
      </w:tr>
      <w:tr w:rsidR="00826849" w:rsidRPr="0006202A" w14:paraId="46255C81" w14:textId="77777777">
        <w:tc>
          <w:tcPr>
            <w:tcW w:w="1900" w:type="dxa"/>
          </w:tcPr>
          <w:p w14:paraId="2E42E821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6"/>
              </w:rPr>
              <w:t>Immediate priorities</w:t>
            </w:r>
          </w:p>
        </w:tc>
        <w:tc>
          <w:tcPr>
            <w:tcW w:w="2700" w:type="dxa"/>
          </w:tcPr>
          <w:p w14:paraId="57D003A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228999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A9A49F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1C1392F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5F9131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F5D8C7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32E31696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CE6526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AF4386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036F73BF" w14:textId="77777777">
        <w:tc>
          <w:tcPr>
            <w:tcW w:w="1900" w:type="dxa"/>
          </w:tcPr>
          <w:p w14:paraId="225A8F77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6"/>
              </w:rPr>
              <w:t>Treatment preferences and limits</w:t>
            </w:r>
          </w:p>
        </w:tc>
        <w:tc>
          <w:tcPr>
            <w:tcW w:w="2700" w:type="dxa"/>
          </w:tcPr>
          <w:p w14:paraId="073E907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638DC9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E73E2B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4ECCD64D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34629A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5B9CCA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53ED17B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9B349F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E28EF4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2C024E77" w14:textId="77777777">
        <w:tc>
          <w:tcPr>
            <w:tcW w:w="1900" w:type="dxa"/>
          </w:tcPr>
          <w:p w14:paraId="65B825D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6"/>
              </w:rPr>
              <w:t>Previous experiences and expectations</w:t>
            </w:r>
          </w:p>
        </w:tc>
        <w:tc>
          <w:tcPr>
            <w:tcW w:w="2700" w:type="dxa"/>
          </w:tcPr>
          <w:p w14:paraId="6490F04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75E32E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63D3855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44AFF22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CEA03A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289A378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3F51933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78A201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48FCF9A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6D46EC09" w14:textId="77777777">
        <w:tc>
          <w:tcPr>
            <w:tcW w:w="1900" w:type="dxa"/>
          </w:tcPr>
          <w:p w14:paraId="6F88FA0D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6"/>
              </w:rPr>
              <w:lastRenderedPageBreak/>
              <w:t>Strengths, capabilities and coping</w:t>
            </w:r>
          </w:p>
        </w:tc>
        <w:tc>
          <w:tcPr>
            <w:tcW w:w="2700" w:type="dxa"/>
          </w:tcPr>
          <w:p w14:paraId="74EDC838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127042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0D7371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4B694EE9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2052D8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BAFF7D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68C4F476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6E3338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53C81A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2293334A" w14:textId="77777777">
        <w:tc>
          <w:tcPr>
            <w:tcW w:w="1900" w:type="dxa"/>
          </w:tcPr>
          <w:p w14:paraId="54DA0596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6"/>
              </w:rPr>
              <w:t>Consent and decision-making</w:t>
            </w:r>
          </w:p>
        </w:tc>
        <w:tc>
          <w:tcPr>
            <w:tcW w:w="2700" w:type="dxa"/>
          </w:tcPr>
          <w:p w14:paraId="4B15301F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6E3ECE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1052DD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6EBD7B7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636213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5A5934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0" w:type="dxa"/>
          </w:tcPr>
          <w:p w14:paraId="0C10B3BD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7CC071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937F3D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042354BC" w14:textId="77777777" w:rsidR="00826849" w:rsidRPr="0006202A" w:rsidRDefault="00000000">
      <w:pPr>
        <w:rPr>
          <w:rFonts w:ascii="Arial" w:hAnsi="Arial" w:cs="Arial"/>
        </w:rPr>
      </w:pPr>
      <w:r w:rsidRPr="0006202A">
        <w:rPr>
          <w:rFonts w:ascii="Arial" w:hAnsi="Arial" w:cs="Arial"/>
        </w:rPr>
        <w:br w:type="page"/>
      </w:r>
    </w:p>
    <w:p w14:paraId="5A766246" w14:textId="77777777" w:rsidR="00826849" w:rsidRPr="0006202A" w:rsidRDefault="00000000">
      <w:pPr>
        <w:pStyle w:val="Heading1"/>
        <w:rPr>
          <w:rFonts w:ascii="Arial" w:hAnsi="Arial" w:cs="Arial"/>
        </w:rPr>
      </w:pPr>
      <w:r w:rsidRPr="0006202A">
        <w:rPr>
          <w:rFonts w:ascii="Arial" w:hAnsi="Arial" w:cs="Arial"/>
        </w:rPr>
        <w:lastRenderedPageBreak/>
        <w:t>Part 3. Medical history and medical-social interaction</w:t>
      </w:r>
    </w:p>
    <w:p w14:paraId="0AA4F731" w14:textId="77777777" w:rsidR="00826849" w:rsidRPr="0006202A" w:rsidRDefault="00000000">
      <w:pPr>
        <w:spacing w:after="160"/>
        <w:rPr>
          <w:rFonts w:ascii="Arial" w:hAnsi="Arial" w:cs="Arial"/>
        </w:rPr>
      </w:pPr>
      <w:r w:rsidRPr="0006202A">
        <w:rPr>
          <w:rFonts w:ascii="Arial" w:hAnsi="Arial" w:cs="Arial"/>
        </w:rPr>
        <w:t>Document medical history comprehensively, then examine the relationship in both directions: how medical conditions or treatment affect oral health and daily life, and how social circumstances affect management of medical and oral healthcare.</w:t>
      </w:r>
    </w:p>
    <w:p w14:paraId="75ABCB85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complete the medical-social interaction matrix</w:t>
      </w:r>
    </w:p>
    <w:p w14:paraId="5AAB9A69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Condition / treatment: </w:t>
      </w:r>
      <w:r w:rsidRPr="0006202A">
        <w:rPr>
          <w:rFonts w:ascii="Arial" w:hAnsi="Arial" w:cs="Arial"/>
        </w:rPr>
        <w:t>List each relevant medical, mental-health, disability, medication or treatment factor separately. Use “unknown” when history has not been obtained.</w:t>
      </w:r>
    </w:p>
    <w:p w14:paraId="044F99F8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Oral-health pathway: </w:t>
      </w:r>
      <w:r w:rsidRPr="0006202A">
        <w:rPr>
          <w:rFonts w:ascii="Arial" w:hAnsi="Arial" w:cs="Arial"/>
        </w:rPr>
        <w:t xml:space="preserve">Explain the direct or indirect mechanism linking it to oral </w:t>
      </w:r>
      <w:proofErr w:type="gramStart"/>
      <w:r w:rsidRPr="0006202A">
        <w:rPr>
          <w:rFonts w:ascii="Arial" w:hAnsi="Arial" w:cs="Arial"/>
        </w:rPr>
        <w:t>health—</w:t>
      </w:r>
      <w:proofErr w:type="gramEnd"/>
      <w:r w:rsidRPr="0006202A">
        <w:rPr>
          <w:rFonts w:ascii="Arial" w:hAnsi="Arial" w:cs="Arial"/>
        </w:rPr>
        <w:t>for example biological effects, xerostomia, inflammation, healing, function or capacity for self-care.</w:t>
      </w:r>
    </w:p>
    <w:p w14:paraId="7CD2812D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Function / daily life: </w:t>
      </w:r>
      <w:r w:rsidRPr="0006202A">
        <w:rPr>
          <w:rFonts w:ascii="Arial" w:hAnsi="Arial" w:cs="Arial"/>
        </w:rPr>
        <w:t>Describe effects on mobility, dexterity, cognition, communication, fatigue, pain, eating, work, caring or daily routines.</w:t>
      </w:r>
    </w:p>
    <w:p w14:paraId="32B2A37E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Social consequence: </w:t>
      </w:r>
      <w:r w:rsidRPr="0006202A">
        <w:rPr>
          <w:rFonts w:ascii="Arial" w:hAnsi="Arial" w:cs="Arial"/>
        </w:rPr>
        <w:t>Consider costs, employment, stigma, dependence, isolation, carer burden, appointment burden or reduced participation.</w:t>
      </w:r>
    </w:p>
    <w:p w14:paraId="0A36F444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Effect on dental care: </w:t>
      </w:r>
      <w:r w:rsidRPr="0006202A">
        <w:rPr>
          <w:rFonts w:ascii="Arial" w:hAnsi="Arial" w:cs="Arial"/>
        </w:rPr>
        <w:t>Explain implications for access, communication, consent, investigations, treatment tolerance, safety, attendance or continuity.</w:t>
      </w:r>
    </w:p>
    <w:p w14:paraId="79457FDC" w14:textId="77777777" w:rsidR="00FE7D40" w:rsidRPr="0006202A" w:rsidRDefault="00000000">
      <w:pPr>
        <w:spacing w:after="80"/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  <w:b/>
          <w:color w:val="17365D"/>
        </w:rPr>
        <w:t>Unknowns</w:t>
      </w:r>
      <w:proofErr w:type="gramEnd"/>
      <w:r w:rsidRPr="0006202A">
        <w:rPr>
          <w:rFonts w:ascii="Arial" w:hAnsi="Arial" w:cs="Arial"/>
          <w:b/>
          <w:color w:val="17365D"/>
        </w:rPr>
        <w:t xml:space="preserve"> / coordination: </w:t>
      </w:r>
      <w:r w:rsidRPr="0006202A">
        <w:rPr>
          <w:rFonts w:ascii="Arial" w:hAnsi="Arial" w:cs="Arial"/>
        </w:rPr>
        <w:t>Identify information to verify and relevant coordination between dental, medical, allied-health, disability or social services.</w:t>
      </w:r>
    </w:p>
    <w:p w14:paraId="7A470CBC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 xml:space="preserve">Do not place a condition in the table without explaining how it affects oral health, functioning or care in this </w:t>
      </w:r>
      <w:proofErr w:type="gramStart"/>
      <w:r w:rsidRPr="0006202A">
        <w:rPr>
          <w:rFonts w:ascii="Arial" w:hAnsi="Arial" w:cs="Arial"/>
        </w:rPr>
        <w:t>particular patient</w:t>
      </w:r>
      <w:proofErr w:type="gramEnd"/>
      <w:r w:rsidRPr="0006202A">
        <w:rPr>
          <w:rFonts w:ascii="Arial" w:hAnsi="Arial" w:cs="Arial"/>
        </w:rPr>
        <w:t>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1450"/>
        <w:gridCol w:w="1450"/>
        <w:gridCol w:w="1450"/>
        <w:gridCol w:w="1600"/>
        <w:gridCol w:w="1650"/>
        <w:gridCol w:w="1760"/>
      </w:tblGrid>
      <w:tr w:rsidR="00826849" w:rsidRPr="0006202A" w14:paraId="017BF902" w14:textId="77777777">
        <w:trPr>
          <w:tblHeader/>
        </w:trPr>
        <w:tc>
          <w:tcPr>
            <w:tcW w:w="1450" w:type="dxa"/>
            <w:shd w:val="clear" w:color="auto" w:fill="2E74B5"/>
          </w:tcPr>
          <w:p w14:paraId="12C0853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Condition / treatment</w:t>
            </w:r>
          </w:p>
        </w:tc>
        <w:tc>
          <w:tcPr>
            <w:tcW w:w="1450" w:type="dxa"/>
            <w:shd w:val="clear" w:color="auto" w:fill="2E74B5"/>
          </w:tcPr>
          <w:p w14:paraId="7EC2EDEF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Oral-health pathway</w:t>
            </w:r>
          </w:p>
        </w:tc>
        <w:tc>
          <w:tcPr>
            <w:tcW w:w="1450" w:type="dxa"/>
            <w:shd w:val="clear" w:color="auto" w:fill="2E74B5"/>
          </w:tcPr>
          <w:p w14:paraId="172EE60F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Function / daily life</w:t>
            </w:r>
          </w:p>
        </w:tc>
        <w:tc>
          <w:tcPr>
            <w:tcW w:w="1600" w:type="dxa"/>
            <w:shd w:val="clear" w:color="auto" w:fill="2E74B5"/>
          </w:tcPr>
          <w:p w14:paraId="7D3C8737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Social consequence</w:t>
            </w:r>
          </w:p>
        </w:tc>
        <w:tc>
          <w:tcPr>
            <w:tcW w:w="1650" w:type="dxa"/>
            <w:shd w:val="clear" w:color="auto" w:fill="2E74B5"/>
          </w:tcPr>
          <w:p w14:paraId="161C4AE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Effect on dental care</w:t>
            </w:r>
          </w:p>
        </w:tc>
        <w:tc>
          <w:tcPr>
            <w:tcW w:w="1760" w:type="dxa"/>
            <w:shd w:val="clear" w:color="auto" w:fill="2E74B5"/>
          </w:tcPr>
          <w:p w14:paraId="56727EEC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proofErr w:type="gramStart"/>
            <w:r w:rsidRPr="0006202A">
              <w:rPr>
                <w:rFonts w:ascii="Arial" w:hAnsi="Arial" w:cs="Arial"/>
                <w:b/>
                <w:color w:val="FFFFFF"/>
                <w:sz w:val="15"/>
              </w:rPr>
              <w:t>Unknowns</w:t>
            </w:r>
            <w:proofErr w:type="gramEnd"/>
            <w:r w:rsidRPr="0006202A">
              <w:rPr>
                <w:rFonts w:ascii="Arial" w:hAnsi="Arial" w:cs="Arial"/>
                <w:b/>
                <w:color w:val="FFFFFF"/>
                <w:sz w:val="15"/>
              </w:rPr>
              <w:t xml:space="preserve"> / coordination</w:t>
            </w:r>
          </w:p>
        </w:tc>
      </w:tr>
      <w:tr w:rsidR="00826849" w:rsidRPr="0006202A" w14:paraId="5162A246" w14:textId="77777777">
        <w:tc>
          <w:tcPr>
            <w:tcW w:w="1450" w:type="dxa"/>
          </w:tcPr>
          <w:p w14:paraId="0C0C69F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349F0F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6ADF69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ADA636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5723A6F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DC8BE5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93A4E4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CD977E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3DDA5DD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D4E070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571355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3175C3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00" w:type="dxa"/>
          </w:tcPr>
          <w:p w14:paraId="423A54A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2CE188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78FE40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62C03C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</w:tcPr>
          <w:p w14:paraId="119B148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56F9AD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59335F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B8A301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60" w:type="dxa"/>
          </w:tcPr>
          <w:p w14:paraId="1F643A7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32321E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5D933E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8A8DE3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6233E28D" w14:textId="77777777">
        <w:tc>
          <w:tcPr>
            <w:tcW w:w="1450" w:type="dxa"/>
          </w:tcPr>
          <w:p w14:paraId="4FF848A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307CD6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D5F3AE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964D93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1CEDDD29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C4A40F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7AC149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F9F715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42CB5019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CCCABD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2E9525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C098BE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00" w:type="dxa"/>
          </w:tcPr>
          <w:p w14:paraId="4549201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161FAD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6E0B8B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61AF73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</w:tcPr>
          <w:p w14:paraId="438A84F8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41BFA5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05F595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4F3E70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60" w:type="dxa"/>
          </w:tcPr>
          <w:p w14:paraId="2BF2D1C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D65CDA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58E5E4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1C3738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4346BF2C" w14:textId="77777777">
        <w:tc>
          <w:tcPr>
            <w:tcW w:w="1450" w:type="dxa"/>
          </w:tcPr>
          <w:p w14:paraId="7B87134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7FADB9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DC6F93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5535FC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3A8E93B0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AC48F7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1C0C1D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AD9276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07C878A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0C94BE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57291D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752080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00" w:type="dxa"/>
          </w:tcPr>
          <w:p w14:paraId="7109BD7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DB76E4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10E7C0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3B8D10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</w:tcPr>
          <w:p w14:paraId="243844D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DB5247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9451D4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B813F8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60" w:type="dxa"/>
          </w:tcPr>
          <w:p w14:paraId="286E045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FAA4F2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3AB968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8BAD9E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5D6B552A" w14:textId="77777777">
        <w:tc>
          <w:tcPr>
            <w:tcW w:w="1450" w:type="dxa"/>
          </w:tcPr>
          <w:p w14:paraId="0C20DAA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371AA3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A9CB10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83FAB8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0DA492BF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D9E530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DE4CCE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D956FC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38EE893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2133EA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7584D1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1912CF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00" w:type="dxa"/>
          </w:tcPr>
          <w:p w14:paraId="3976C48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C5DCC0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569FAB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DC34EB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</w:tcPr>
          <w:p w14:paraId="28AE8F7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BC3177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668B38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9BD41A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60" w:type="dxa"/>
          </w:tcPr>
          <w:p w14:paraId="7C8D63AF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736289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3C0C23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4E76DC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46EFB4CC" w14:textId="77777777">
        <w:tc>
          <w:tcPr>
            <w:tcW w:w="1450" w:type="dxa"/>
          </w:tcPr>
          <w:p w14:paraId="79AF1F58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E52732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C1930B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D6F564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334E455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CC759E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6D09BF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BFCB45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589F445F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10ED78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16F999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164AC7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00" w:type="dxa"/>
          </w:tcPr>
          <w:p w14:paraId="5E3862C9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4329CE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4BA024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EF5B4F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</w:tcPr>
          <w:p w14:paraId="732BF51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86573C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716803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541945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60" w:type="dxa"/>
          </w:tcPr>
          <w:p w14:paraId="1FE5EAE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271C3C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170D95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1500C2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74F7D484" w14:textId="77777777" w:rsidR="00826849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lastRenderedPageBreak/>
        <w:t>Medical-history prompts</w:t>
      </w:r>
    </w:p>
    <w:p w14:paraId="62A0C70F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 xml:space="preserve">Chronic conditions, multimorbidity, mental health, neurodevelopmental conditions, disability and previous </w:t>
      </w:r>
      <w:proofErr w:type="spellStart"/>
      <w:r w:rsidRPr="0006202A">
        <w:rPr>
          <w:rFonts w:ascii="Arial" w:hAnsi="Arial" w:cs="Arial"/>
        </w:rPr>
        <w:t>hospitalisation</w:t>
      </w:r>
      <w:proofErr w:type="spellEnd"/>
      <w:r w:rsidRPr="0006202A">
        <w:rPr>
          <w:rFonts w:ascii="Arial" w:hAnsi="Arial" w:cs="Arial"/>
        </w:rPr>
        <w:t>.</w:t>
      </w:r>
    </w:p>
    <w:p w14:paraId="4D017512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Medicines, polypharmacy, allergies and adverse effects.</w:t>
      </w:r>
    </w:p>
    <w:p w14:paraId="4BF51F96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Pain experiences, fatigue, cognition, communication, mobility, sensory function and dependence on others.</w:t>
      </w:r>
    </w:p>
    <w:p w14:paraId="15C9947D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Previous dental/healthcare experiences, treatment burden and competing appointments.</w:t>
      </w:r>
    </w:p>
    <w:p w14:paraId="71522E76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 xml:space="preserve">Existing health professionals, </w:t>
      </w:r>
      <w:proofErr w:type="gramStart"/>
      <w:r w:rsidRPr="0006202A">
        <w:rPr>
          <w:rFonts w:ascii="Arial" w:hAnsi="Arial" w:cs="Arial"/>
        </w:rPr>
        <w:t>supports</w:t>
      </w:r>
      <w:proofErr w:type="gramEnd"/>
      <w:r w:rsidRPr="0006202A">
        <w:rPr>
          <w:rFonts w:ascii="Arial" w:hAnsi="Arial" w:cs="Arial"/>
        </w:rPr>
        <w:t xml:space="preserve"> and care coordination.</w:t>
      </w:r>
    </w:p>
    <w:p w14:paraId="78CD67C4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Areas that should only be explored with explicit permission.</w:t>
      </w:r>
    </w:p>
    <w:p w14:paraId="7B12B0A0" w14:textId="77777777" w:rsidR="00826849" w:rsidRPr="0006202A" w:rsidRDefault="00000000">
      <w:pPr>
        <w:rPr>
          <w:rFonts w:ascii="Arial" w:hAnsi="Arial" w:cs="Arial"/>
        </w:rPr>
      </w:pPr>
      <w:r w:rsidRPr="0006202A">
        <w:rPr>
          <w:rFonts w:ascii="Arial" w:hAnsi="Arial" w:cs="Arial"/>
        </w:rPr>
        <w:br w:type="page"/>
      </w:r>
    </w:p>
    <w:p w14:paraId="170EF605" w14:textId="77777777" w:rsidR="00826849" w:rsidRPr="0006202A" w:rsidRDefault="00000000">
      <w:pPr>
        <w:pStyle w:val="Heading1"/>
        <w:rPr>
          <w:rFonts w:ascii="Arial" w:hAnsi="Arial" w:cs="Arial"/>
        </w:rPr>
      </w:pPr>
      <w:r w:rsidRPr="0006202A">
        <w:rPr>
          <w:rFonts w:ascii="Arial" w:hAnsi="Arial" w:cs="Arial"/>
        </w:rPr>
        <w:lastRenderedPageBreak/>
        <w:t>Part 4. Population determinant profile</w:t>
      </w:r>
    </w:p>
    <w:p w14:paraId="3400D617" w14:textId="77777777" w:rsidR="00826849" w:rsidRPr="0006202A" w:rsidRDefault="00000000">
      <w:pPr>
        <w:spacing w:after="160"/>
        <w:rPr>
          <w:rFonts w:ascii="Arial" w:hAnsi="Arial" w:cs="Arial"/>
        </w:rPr>
      </w:pPr>
      <w:r w:rsidRPr="0006202A">
        <w:rPr>
          <w:rFonts w:ascii="Arial" w:hAnsi="Arial" w:cs="Arial"/>
        </w:rPr>
        <w:t xml:space="preserve">For every determinant domain, assign a code and support it with patient-specific evidence and a plausible mechanism. Codes describe the direction and importance of a domain; they are not a validated risk score and must not be added into a total. </w:t>
      </w:r>
      <w:proofErr w:type="gramStart"/>
      <w:r w:rsidRPr="0006202A">
        <w:rPr>
          <w:rFonts w:ascii="Arial" w:hAnsi="Arial" w:cs="Arial"/>
        </w:rPr>
        <w:t>A domain</w:t>
      </w:r>
      <w:proofErr w:type="gramEnd"/>
      <w:r w:rsidRPr="0006202A">
        <w:rPr>
          <w:rFonts w:ascii="Arial" w:hAnsi="Arial" w:cs="Arial"/>
        </w:rPr>
        <w:t xml:space="preserve"> may contain both an adverse influence and a protective factor (for example, 2/P).</w:t>
      </w:r>
    </w:p>
    <w:p w14:paraId="1F21F3A5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use the determinant codes</w:t>
      </w:r>
    </w:p>
    <w:p w14:paraId="748CB8C3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Choose one or more codes: </w:t>
      </w:r>
      <w:r w:rsidRPr="0006202A">
        <w:rPr>
          <w:rFonts w:ascii="Arial" w:hAnsi="Arial" w:cs="Arial"/>
        </w:rPr>
        <w:t>Select the code that best reflects current patient-specific evidence. A domain can contain both an adverse influence and a protective factor, such as 2/P.</w:t>
      </w:r>
    </w:p>
    <w:p w14:paraId="5598F70B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Evidence threshold: </w:t>
      </w:r>
      <w:r w:rsidRPr="0006202A">
        <w:rPr>
          <w:rFonts w:ascii="Arial" w:hAnsi="Arial" w:cs="Arial"/>
        </w:rPr>
        <w:t>Use U when information is missing. Do not convert uncertainty into a score of 0.</w:t>
      </w:r>
    </w:p>
    <w:p w14:paraId="684A318B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Priority: </w:t>
      </w:r>
      <w:r w:rsidRPr="0006202A">
        <w:rPr>
          <w:rFonts w:ascii="Arial" w:hAnsi="Arial" w:cs="Arial"/>
        </w:rPr>
        <w:t xml:space="preserve">A higher number indicates greater current influence, not personal blame. Codes are prompts for reasoning and must not be </w:t>
      </w:r>
      <w:proofErr w:type="gramStart"/>
      <w:r w:rsidRPr="0006202A">
        <w:rPr>
          <w:rFonts w:ascii="Arial" w:hAnsi="Arial" w:cs="Arial"/>
        </w:rPr>
        <w:t>summed</w:t>
      </w:r>
      <w:proofErr w:type="gramEnd"/>
      <w:r w:rsidRPr="0006202A">
        <w:rPr>
          <w:rFonts w:ascii="Arial" w:hAnsi="Arial" w:cs="Arial"/>
        </w:rPr>
        <w:t>.</w:t>
      </w:r>
    </w:p>
    <w:p w14:paraId="015B8574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Do not use the codes to rank patients, determine worthiness or replace clinical judgement.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450"/>
        <w:gridCol w:w="6010"/>
      </w:tblGrid>
      <w:tr w:rsidR="00826849" w:rsidRPr="0006202A" w14:paraId="30EE68E9" w14:textId="77777777">
        <w:trPr>
          <w:tblHeader/>
        </w:trPr>
        <w:tc>
          <w:tcPr>
            <w:tcW w:w="900" w:type="dxa"/>
            <w:shd w:val="clear" w:color="auto" w:fill="2E74B5"/>
          </w:tcPr>
          <w:p w14:paraId="2F1B727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Code</w:t>
            </w:r>
          </w:p>
        </w:tc>
        <w:tc>
          <w:tcPr>
            <w:tcW w:w="2450" w:type="dxa"/>
            <w:shd w:val="clear" w:color="auto" w:fill="2E74B5"/>
          </w:tcPr>
          <w:p w14:paraId="4B02B8A3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Meaning</w:t>
            </w:r>
          </w:p>
        </w:tc>
        <w:tc>
          <w:tcPr>
            <w:tcW w:w="6010" w:type="dxa"/>
            <w:shd w:val="clear" w:color="auto" w:fill="2E74B5"/>
          </w:tcPr>
          <w:p w14:paraId="42722B28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Application</w:t>
            </w:r>
          </w:p>
        </w:tc>
      </w:tr>
      <w:tr w:rsidR="00826849" w:rsidRPr="0006202A" w14:paraId="09289E0B" w14:textId="77777777">
        <w:tc>
          <w:tcPr>
            <w:tcW w:w="900" w:type="dxa"/>
          </w:tcPr>
          <w:p w14:paraId="453B822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0</w:t>
            </w:r>
          </w:p>
        </w:tc>
        <w:tc>
          <w:tcPr>
            <w:tcW w:w="2450" w:type="dxa"/>
          </w:tcPr>
          <w:p w14:paraId="16FC9492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No current adverse influence identified</w:t>
            </w:r>
          </w:p>
        </w:tc>
        <w:tc>
          <w:tcPr>
            <w:tcW w:w="6010" w:type="dxa"/>
          </w:tcPr>
          <w:p w14:paraId="72DC5152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Available information does not indicate that the domain is currently restricting oral health or care.</w:t>
            </w:r>
          </w:p>
        </w:tc>
      </w:tr>
      <w:tr w:rsidR="00826849" w:rsidRPr="0006202A" w14:paraId="12582057" w14:textId="77777777">
        <w:tc>
          <w:tcPr>
            <w:tcW w:w="900" w:type="dxa"/>
            <w:shd w:val="clear" w:color="auto" w:fill="F4F6F9"/>
          </w:tcPr>
          <w:p w14:paraId="7643CB28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1</w:t>
            </w:r>
          </w:p>
        </w:tc>
        <w:tc>
          <w:tcPr>
            <w:tcW w:w="2450" w:type="dxa"/>
            <w:shd w:val="clear" w:color="auto" w:fill="F4F6F9"/>
          </w:tcPr>
          <w:p w14:paraId="21D5C27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Possible or limited influence</w:t>
            </w:r>
          </w:p>
        </w:tc>
        <w:tc>
          <w:tcPr>
            <w:tcW w:w="6010" w:type="dxa"/>
            <w:shd w:val="clear" w:color="auto" w:fill="F4F6F9"/>
          </w:tcPr>
          <w:p w14:paraId="2091BEF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A plausible influence is present, but its effect is minor, uncertain or requires further exploration.</w:t>
            </w:r>
          </w:p>
        </w:tc>
      </w:tr>
      <w:tr w:rsidR="00826849" w:rsidRPr="0006202A" w14:paraId="616F1F26" w14:textId="77777777">
        <w:tc>
          <w:tcPr>
            <w:tcW w:w="900" w:type="dxa"/>
          </w:tcPr>
          <w:p w14:paraId="59DD60D4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2</w:t>
            </w:r>
          </w:p>
        </w:tc>
        <w:tc>
          <w:tcPr>
            <w:tcW w:w="2450" w:type="dxa"/>
          </w:tcPr>
          <w:p w14:paraId="1CD879D6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Material influence</w:t>
            </w:r>
          </w:p>
        </w:tc>
        <w:tc>
          <w:tcPr>
            <w:tcW w:w="6010" w:type="dxa"/>
          </w:tcPr>
          <w:p w14:paraId="37C6D1E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The domain meaningfully affects oral-health risk, disease experience, access, treatment feasibility or outcomes.</w:t>
            </w:r>
          </w:p>
        </w:tc>
      </w:tr>
      <w:tr w:rsidR="00826849" w:rsidRPr="0006202A" w14:paraId="19621149" w14:textId="77777777">
        <w:tc>
          <w:tcPr>
            <w:tcW w:w="900" w:type="dxa"/>
            <w:shd w:val="clear" w:color="auto" w:fill="F4F6F9"/>
          </w:tcPr>
          <w:p w14:paraId="7F0AD04A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3</w:t>
            </w:r>
          </w:p>
        </w:tc>
        <w:tc>
          <w:tcPr>
            <w:tcW w:w="2450" w:type="dxa"/>
            <w:shd w:val="clear" w:color="auto" w:fill="F4F6F9"/>
          </w:tcPr>
          <w:p w14:paraId="5CE59EC4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Urgent or severe influence</w:t>
            </w:r>
          </w:p>
        </w:tc>
        <w:tc>
          <w:tcPr>
            <w:tcW w:w="6010" w:type="dxa"/>
            <w:shd w:val="clear" w:color="auto" w:fill="F4F6F9"/>
          </w:tcPr>
          <w:p w14:paraId="7008B704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The domain has a major current impact or requires prompt attention because of safety, severe unmet need or inability to access/complete care.</w:t>
            </w:r>
          </w:p>
        </w:tc>
      </w:tr>
      <w:tr w:rsidR="00826849" w:rsidRPr="0006202A" w14:paraId="550988BB" w14:textId="77777777">
        <w:tc>
          <w:tcPr>
            <w:tcW w:w="900" w:type="dxa"/>
          </w:tcPr>
          <w:p w14:paraId="623DE8AC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P</w:t>
            </w:r>
          </w:p>
        </w:tc>
        <w:tc>
          <w:tcPr>
            <w:tcW w:w="2450" w:type="dxa"/>
          </w:tcPr>
          <w:p w14:paraId="7C13EF70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Protective factor</w:t>
            </w:r>
          </w:p>
        </w:tc>
        <w:tc>
          <w:tcPr>
            <w:tcW w:w="6010" w:type="dxa"/>
          </w:tcPr>
          <w:p w14:paraId="23D59D8A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A strength, resource, relationship, entitlement or service feature supports health, access, autonomy or care feasibility.</w:t>
            </w:r>
          </w:p>
        </w:tc>
      </w:tr>
      <w:tr w:rsidR="00826849" w:rsidRPr="0006202A" w14:paraId="00FB4E66" w14:textId="77777777">
        <w:tc>
          <w:tcPr>
            <w:tcW w:w="900" w:type="dxa"/>
            <w:shd w:val="clear" w:color="auto" w:fill="F4F6F9"/>
          </w:tcPr>
          <w:p w14:paraId="69CF405A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U</w:t>
            </w:r>
          </w:p>
        </w:tc>
        <w:tc>
          <w:tcPr>
            <w:tcW w:w="2450" w:type="dxa"/>
            <w:shd w:val="clear" w:color="auto" w:fill="F4F6F9"/>
          </w:tcPr>
          <w:p w14:paraId="4EE4B567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Unknown / not explored</w:t>
            </w:r>
          </w:p>
        </w:tc>
        <w:tc>
          <w:tcPr>
            <w:tcW w:w="6010" w:type="dxa"/>
            <w:shd w:val="clear" w:color="auto" w:fill="F4F6F9"/>
          </w:tcPr>
          <w:p w14:paraId="3710222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 xml:space="preserve">The information is not available or has not been discussed. Record the gap rather than </w:t>
            </w:r>
            <w:proofErr w:type="gramStart"/>
            <w:r w:rsidRPr="0006202A">
              <w:rPr>
                <w:rFonts w:ascii="Arial" w:hAnsi="Arial" w:cs="Arial"/>
                <w:sz w:val="15"/>
              </w:rPr>
              <w:t>making an assumption</w:t>
            </w:r>
            <w:proofErr w:type="gramEnd"/>
            <w:r w:rsidRPr="0006202A">
              <w:rPr>
                <w:rFonts w:ascii="Arial" w:hAnsi="Arial" w:cs="Arial"/>
                <w:sz w:val="15"/>
              </w:rPr>
              <w:t>.</w:t>
            </w:r>
          </w:p>
        </w:tc>
      </w:tr>
      <w:tr w:rsidR="00826849" w:rsidRPr="0006202A" w14:paraId="12BF177A" w14:textId="77777777">
        <w:tc>
          <w:tcPr>
            <w:tcW w:w="900" w:type="dxa"/>
          </w:tcPr>
          <w:p w14:paraId="43FB47D1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N/A</w:t>
            </w:r>
          </w:p>
        </w:tc>
        <w:tc>
          <w:tcPr>
            <w:tcW w:w="2450" w:type="dxa"/>
          </w:tcPr>
          <w:p w14:paraId="19FEEF93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Not applicable</w:t>
            </w:r>
          </w:p>
        </w:tc>
        <w:tc>
          <w:tcPr>
            <w:tcW w:w="6010" w:type="dxa"/>
          </w:tcPr>
          <w:p w14:paraId="6439A6C1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The domain is not relevant to the current case after appropriate consideration.</w:t>
            </w:r>
          </w:p>
        </w:tc>
      </w:tr>
    </w:tbl>
    <w:p w14:paraId="47F4633C" w14:textId="77777777" w:rsidR="00826849" w:rsidRPr="0006202A" w:rsidRDefault="00000000">
      <w:pPr>
        <w:spacing w:before="80" w:after="140"/>
        <w:rPr>
          <w:rFonts w:ascii="Arial" w:hAnsi="Arial" w:cs="Arial"/>
        </w:rPr>
      </w:pPr>
      <w:r w:rsidRPr="0006202A">
        <w:rPr>
          <w:rFonts w:ascii="Arial" w:hAnsi="Arial" w:cs="Arial"/>
        </w:rPr>
        <w:t xml:space="preserve">Coding rule: Do not sum codes. </w:t>
      </w:r>
      <w:proofErr w:type="spellStart"/>
      <w:r w:rsidRPr="0006202A">
        <w:rPr>
          <w:rFonts w:ascii="Arial" w:hAnsi="Arial" w:cs="Arial"/>
        </w:rPr>
        <w:t>Prioritise</w:t>
      </w:r>
      <w:proofErr w:type="spellEnd"/>
      <w:r w:rsidRPr="0006202A">
        <w:rPr>
          <w:rFonts w:ascii="Arial" w:hAnsi="Arial" w:cs="Arial"/>
        </w:rPr>
        <w:t xml:space="preserve"> domains through patient-defined importance, severity, modifiability, urgency and the strength of evidence. Reassess codes when circumstances change.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E7D40" w:rsidRPr="0006202A" w14:paraId="5F624F3E" w14:textId="77777777">
        <w:trPr>
          <w:tblHeader/>
        </w:trPr>
        <w:tc>
          <w:tcPr>
            <w:tcW w:w="2700" w:type="dxa"/>
            <w:shd w:val="clear" w:color="auto" w:fill="2E74B5"/>
          </w:tcPr>
          <w:p w14:paraId="058FCC51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Determinant domain</w:t>
            </w:r>
          </w:p>
        </w:tc>
        <w:tc>
          <w:tcPr>
            <w:tcW w:w="6660" w:type="dxa"/>
            <w:shd w:val="clear" w:color="auto" w:fill="2E74B5"/>
          </w:tcPr>
          <w:p w14:paraId="789DF8E5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6"/>
              </w:rPr>
              <w:t>What the domain asks you to consider</w:t>
            </w:r>
          </w:p>
        </w:tc>
      </w:tr>
      <w:tr w:rsidR="00FE7D40" w:rsidRPr="0006202A" w14:paraId="0D32AF98" w14:textId="77777777">
        <w:tc>
          <w:tcPr>
            <w:tcW w:w="2700" w:type="dxa"/>
          </w:tcPr>
          <w:p w14:paraId="5986E6A6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Structural and policy context</w:t>
            </w:r>
          </w:p>
        </w:tc>
        <w:tc>
          <w:tcPr>
            <w:tcW w:w="6660" w:type="dxa"/>
          </w:tcPr>
          <w:p w14:paraId="274B4214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Wider political, economic, historical and policy conditions that distribute resources and shape service systems, eligibility, employment, housing and environments.</w:t>
            </w:r>
          </w:p>
        </w:tc>
      </w:tr>
      <w:tr w:rsidR="00FE7D40" w:rsidRPr="0006202A" w14:paraId="750CF317" w14:textId="77777777">
        <w:tc>
          <w:tcPr>
            <w:tcW w:w="2700" w:type="dxa"/>
            <w:shd w:val="clear" w:color="auto" w:fill="F4F6F9"/>
          </w:tcPr>
          <w:p w14:paraId="6C8701C7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Commercial determinants</w:t>
            </w:r>
          </w:p>
        </w:tc>
        <w:tc>
          <w:tcPr>
            <w:tcW w:w="6660" w:type="dxa"/>
            <w:shd w:val="clear" w:color="auto" w:fill="F4F6F9"/>
          </w:tcPr>
          <w:p w14:paraId="125C2BE7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How product price, availability, marketing, corporate practices and commercial influence shape exposures, choices and social norms.</w:t>
            </w:r>
          </w:p>
        </w:tc>
      </w:tr>
      <w:tr w:rsidR="00FE7D40" w:rsidRPr="0006202A" w14:paraId="113CDC9E" w14:textId="77777777">
        <w:tc>
          <w:tcPr>
            <w:tcW w:w="2700" w:type="dxa"/>
          </w:tcPr>
          <w:p w14:paraId="0CD69FB6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Social position and distribution of resources</w:t>
            </w:r>
          </w:p>
        </w:tc>
        <w:tc>
          <w:tcPr>
            <w:tcW w:w="6660" w:type="dxa"/>
          </w:tcPr>
          <w:p w14:paraId="20B9C164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How income, education, occupation, disability, migration status, gender, ethnicity, geography and other positions affect access to power, money and opportunity. Identity itself is not the risk.</w:t>
            </w:r>
          </w:p>
        </w:tc>
      </w:tr>
      <w:tr w:rsidR="00FE7D40" w:rsidRPr="0006202A" w14:paraId="5A0E4668" w14:textId="77777777">
        <w:tc>
          <w:tcPr>
            <w:tcW w:w="2700" w:type="dxa"/>
            <w:shd w:val="clear" w:color="auto" w:fill="F4F6F9"/>
          </w:tcPr>
          <w:p w14:paraId="66E85138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Material and environmental circumstances</w:t>
            </w:r>
          </w:p>
        </w:tc>
        <w:tc>
          <w:tcPr>
            <w:tcW w:w="6660" w:type="dxa"/>
            <w:shd w:val="clear" w:color="auto" w:fill="F4F6F9"/>
          </w:tcPr>
          <w:p w14:paraId="7980B78B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 xml:space="preserve">Housing, food, transport, fluoridated water, utilities, technology, workplace/school conditions, </w:t>
            </w:r>
            <w:proofErr w:type="spellStart"/>
            <w:r w:rsidRPr="0006202A">
              <w:rPr>
                <w:rFonts w:ascii="Arial" w:hAnsi="Arial" w:cs="Arial"/>
                <w:sz w:val="15"/>
              </w:rPr>
              <w:t>neighbourhood</w:t>
            </w:r>
            <w:proofErr w:type="spellEnd"/>
            <w:r w:rsidRPr="0006202A">
              <w:rPr>
                <w:rFonts w:ascii="Arial" w:hAnsi="Arial" w:cs="Arial"/>
                <w:sz w:val="15"/>
              </w:rPr>
              <w:t xml:space="preserve"> environment, time and competing costs.</w:t>
            </w:r>
          </w:p>
        </w:tc>
      </w:tr>
      <w:tr w:rsidR="00FE7D40" w:rsidRPr="0006202A" w14:paraId="309132FF" w14:textId="77777777">
        <w:tc>
          <w:tcPr>
            <w:tcW w:w="2700" w:type="dxa"/>
          </w:tcPr>
          <w:p w14:paraId="70AFE7CF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Social relationships and psychosocial circumstances</w:t>
            </w:r>
          </w:p>
        </w:tc>
        <w:tc>
          <w:tcPr>
            <w:tcW w:w="6660" w:type="dxa"/>
          </w:tcPr>
          <w:p w14:paraId="275CDCD9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Support, isolation, caring roles, cultural connection, safety, stress, discrimination, trauma, control, trust and mental wellbeing.</w:t>
            </w:r>
          </w:p>
        </w:tc>
      </w:tr>
      <w:tr w:rsidR="00FE7D40" w:rsidRPr="0006202A" w14:paraId="54EB10E2" w14:textId="77777777">
        <w:tc>
          <w:tcPr>
            <w:tcW w:w="2700" w:type="dxa"/>
            <w:shd w:val="clear" w:color="auto" w:fill="F4F6F9"/>
          </w:tcPr>
          <w:p w14:paraId="4D5E2306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Healthcare access and service experience</w:t>
            </w:r>
          </w:p>
        </w:tc>
        <w:tc>
          <w:tcPr>
            <w:tcW w:w="6660" w:type="dxa"/>
            <w:shd w:val="clear" w:color="auto" w:fill="F4F6F9"/>
          </w:tcPr>
          <w:p w14:paraId="2F727479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Availability, affordability, eligibility, physical/geographic access, waiting, communication, continuity, quality, cultural safety and prior healthcare experiences.</w:t>
            </w:r>
          </w:p>
        </w:tc>
      </w:tr>
      <w:tr w:rsidR="00FE7D40" w:rsidRPr="0006202A" w14:paraId="646DE23B" w14:textId="77777777">
        <w:tc>
          <w:tcPr>
            <w:tcW w:w="2700" w:type="dxa"/>
          </w:tcPr>
          <w:p w14:paraId="58F3A084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Health-related practices and exposures</w:t>
            </w:r>
          </w:p>
        </w:tc>
        <w:tc>
          <w:tcPr>
            <w:tcW w:w="6660" w:type="dxa"/>
          </w:tcPr>
          <w:p w14:paraId="1561CFCF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Diet, tobacco/vaping, alcohol, oral hygiene, service use and occupational/environmental exposures, interpreted within their social context.</w:t>
            </w:r>
          </w:p>
        </w:tc>
      </w:tr>
      <w:tr w:rsidR="00FE7D40" w:rsidRPr="0006202A" w14:paraId="6879846E" w14:textId="77777777">
        <w:tc>
          <w:tcPr>
            <w:tcW w:w="2700" w:type="dxa"/>
            <w:shd w:val="clear" w:color="auto" w:fill="F4F6F9"/>
          </w:tcPr>
          <w:p w14:paraId="668CEDD0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Biological pathways and susceptibility</w:t>
            </w:r>
          </w:p>
        </w:tc>
        <w:tc>
          <w:tcPr>
            <w:tcW w:w="6660" w:type="dxa"/>
            <w:shd w:val="clear" w:color="auto" w:fill="F4F6F9"/>
          </w:tcPr>
          <w:p w14:paraId="478C327B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Genetics, age, saliva, microbiome, infection, inflammation, immunity, pregnancy, medicines and comorbidities, including how social conditions may become biologically embodied.</w:t>
            </w:r>
          </w:p>
        </w:tc>
      </w:tr>
      <w:tr w:rsidR="00FE7D40" w:rsidRPr="0006202A" w14:paraId="02B608AF" w14:textId="77777777">
        <w:tc>
          <w:tcPr>
            <w:tcW w:w="2700" w:type="dxa"/>
          </w:tcPr>
          <w:p w14:paraId="18DA5172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proofErr w:type="gramStart"/>
            <w:r w:rsidRPr="0006202A">
              <w:rPr>
                <w:rFonts w:ascii="Arial" w:hAnsi="Arial" w:cs="Arial"/>
                <w:b/>
                <w:color w:val="17365D"/>
                <w:sz w:val="15"/>
              </w:rPr>
              <w:t>Life-course</w:t>
            </w:r>
            <w:proofErr w:type="gramEnd"/>
            <w:r w:rsidRPr="0006202A">
              <w:rPr>
                <w:rFonts w:ascii="Arial" w:hAnsi="Arial" w:cs="Arial"/>
                <w:b/>
                <w:color w:val="17365D"/>
                <w:sz w:val="15"/>
              </w:rPr>
              <w:t xml:space="preserve"> and cumulative influences</w:t>
            </w:r>
          </w:p>
        </w:tc>
        <w:tc>
          <w:tcPr>
            <w:tcW w:w="6660" w:type="dxa"/>
          </w:tcPr>
          <w:p w14:paraId="0A7341F5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 xml:space="preserve">Critical periods, earlier experiences, accumulated </w:t>
            </w:r>
            <w:proofErr w:type="gramStart"/>
            <w:r w:rsidRPr="0006202A">
              <w:rPr>
                <w:rFonts w:ascii="Arial" w:hAnsi="Arial" w:cs="Arial"/>
                <w:sz w:val="15"/>
              </w:rPr>
              <w:t>advantage/disadvantage</w:t>
            </w:r>
            <w:proofErr w:type="gramEnd"/>
            <w:r w:rsidRPr="0006202A">
              <w:rPr>
                <w:rFonts w:ascii="Arial" w:hAnsi="Arial" w:cs="Arial"/>
                <w:sz w:val="15"/>
              </w:rPr>
              <w:t xml:space="preserve"> and intergenerational influences across time.</w:t>
            </w:r>
          </w:p>
        </w:tc>
      </w:tr>
      <w:tr w:rsidR="00FE7D40" w:rsidRPr="0006202A" w14:paraId="3CB99340" w14:textId="77777777">
        <w:tc>
          <w:tcPr>
            <w:tcW w:w="2700" w:type="dxa"/>
            <w:shd w:val="clear" w:color="auto" w:fill="F4F6F9"/>
          </w:tcPr>
          <w:p w14:paraId="1C77C94A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Patient agency, assets and community resources</w:t>
            </w:r>
          </w:p>
        </w:tc>
        <w:tc>
          <w:tcPr>
            <w:tcW w:w="6660" w:type="dxa"/>
            <w:shd w:val="clear" w:color="auto" w:fill="F4F6F9"/>
          </w:tcPr>
          <w:p w14:paraId="3A71D9B4" w14:textId="77777777" w:rsidR="00FE7D40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 xml:space="preserve">Goals, knowledge, strengths, relationships, cultural resources, entitlements, community </w:t>
            </w:r>
            <w:proofErr w:type="spellStart"/>
            <w:r w:rsidRPr="0006202A">
              <w:rPr>
                <w:rFonts w:ascii="Arial" w:hAnsi="Arial" w:cs="Arial"/>
                <w:sz w:val="15"/>
              </w:rPr>
              <w:t>organisations</w:t>
            </w:r>
            <w:proofErr w:type="spellEnd"/>
            <w:r w:rsidRPr="0006202A">
              <w:rPr>
                <w:rFonts w:ascii="Arial" w:hAnsi="Arial" w:cs="Arial"/>
                <w:sz w:val="15"/>
              </w:rPr>
              <w:t xml:space="preserve"> and services that protect health or enable care.</w:t>
            </w:r>
          </w:p>
        </w:tc>
      </w:tr>
    </w:tbl>
    <w:p w14:paraId="3652D551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complete the scored determinant profile</w:t>
      </w:r>
    </w:p>
    <w:p w14:paraId="22CE60D1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Code: </w:t>
      </w:r>
      <w:r w:rsidRPr="0006202A">
        <w:rPr>
          <w:rFonts w:ascii="Arial" w:hAnsi="Arial" w:cs="Arial"/>
        </w:rPr>
        <w:t>Assign 0, 1, 2, 3, P, U or N/A using the scoring key.</w:t>
      </w:r>
    </w:p>
    <w:p w14:paraId="6264E3FA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Patient-specific evidence: </w:t>
      </w:r>
      <w:r w:rsidRPr="0006202A">
        <w:rPr>
          <w:rFonts w:ascii="Arial" w:hAnsi="Arial" w:cs="Arial"/>
        </w:rPr>
        <w:t xml:space="preserve">Record the </w:t>
      </w:r>
      <w:proofErr w:type="gramStart"/>
      <w:r w:rsidRPr="0006202A">
        <w:rPr>
          <w:rFonts w:ascii="Arial" w:hAnsi="Arial" w:cs="Arial"/>
        </w:rPr>
        <w:t>fact</w:t>
      </w:r>
      <w:proofErr w:type="gramEnd"/>
      <w:r w:rsidRPr="0006202A">
        <w:rPr>
          <w:rFonts w:ascii="Arial" w:hAnsi="Arial" w:cs="Arial"/>
        </w:rPr>
        <w:t>, observation or patient report supporting the code. Avoid generic statements about population groups.</w:t>
      </w:r>
    </w:p>
    <w:p w14:paraId="538AD48C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Pathway / mechanism: </w:t>
      </w:r>
      <w:r w:rsidRPr="0006202A">
        <w:rPr>
          <w:rFonts w:ascii="Arial" w:hAnsi="Arial" w:cs="Arial"/>
        </w:rPr>
        <w:t>Explain how the determinant affects oral-health risk, symptoms, function, access, treatment feasibility or outcomes.</w:t>
      </w:r>
    </w:p>
    <w:p w14:paraId="1008D9D3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lastRenderedPageBreak/>
        <w:t xml:space="preserve">Protective factors: </w:t>
      </w:r>
      <w:r w:rsidRPr="0006202A">
        <w:rPr>
          <w:rFonts w:ascii="Arial" w:hAnsi="Arial" w:cs="Arial"/>
        </w:rPr>
        <w:t>Record resources or strengths that reduce the impact or improve access, autonomy and care feasibility.</w:t>
      </w:r>
    </w:p>
    <w:p w14:paraId="3E993AC2" w14:textId="77777777" w:rsidR="00FE7D40" w:rsidRPr="0006202A" w:rsidRDefault="00000000">
      <w:pPr>
        <w:spacing w:after="80"/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  <w:b/>
          <w:color w:val="17365D"/>
        </w:rPr>
        <w:t>Unknowns</w:t>
      </w:r>
      <w:proofErr w:type="gramEnd"/>
      <w:r w:rsidRPr="0006202A">
        <w:rPr>
          <w:rFonts w:ascii="Arial" w:hAnsi="Arial" w:cs="Arial"/>
          <w:b/>
          <w:color w:val="17365D"/>
        </w:rPr>
        <w:t xml:space="preserve"> / assumptions to avoid: </w:t>
      </w:r>
      <w:r w:rsidRPr="0006202A">
        <w:rPr>
          <w:rFonts w:ascii="Arial" w:hAnsi="Arial" w:cs="Arial"/>
        </w:rPr>
        <w:t>Identify what is missing and any stereotype or unsupported causal conclusion that must not be made.</w:t>
      </w:r>
    </w:p>
    <w:p w14:paraId="17700CC8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Do not merely list determinants; a PICCS requires evidence and a mechanism linking each relevant determinant to this patient’s case.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700"/>
        <w:gridCol w:w="2050"/>
        <w:gridCol w:w="1850"/>
        <w:gridCol w:w="1350"/>
        <w:gridCol w:w="1660"/>
      </w:tblGrid>
      <w:tr w:rsidR="00826849" w:rsidRPr="0006202A" w14:paraId="0DEC6736" w14:textId="77777777">
        <w:trPr>
          <w:tblHeader/>
        </w:trPr>
        <w:tc>
          <w:tcPr>
            <w:tcW w:w="1750" w:type="dxa"/>
            <w:shd w:val="clear" w:color="auto" w:fill="2E74B5"/>
          </w:tcPr>
          <w:p w14:paraId="40A70223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Determinant domain</w:t>
            </w:r>
          </w:p>
        </w:tc>
        <w:tc>
          <w:tcPr>
            <w:tcW w:w="700" w:type="dxa"/>
            <w:shd w:val="clear" w:color="auto" w:fill="2E74B5"/>
          </w:tcPr>
          <w:p w14:paraId="6209DC5E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Code</w:t>
            </w:r>
          </w:p>
        </w:tc>
        <w:tc>
          <w:tcPr>
            <w:tcW w:w="2050" w:type="dxa"/>
            <w:shd w:val="clear" w:color="auto" w:fill="2E74B5"/>
          </w:tcPr>
          <w:p w14:paraId="2F57F251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Patient-specific evidence</w:t>
            </w:r>
          </w:p>
        </w:tc>
        <w:tc>
          <w:tcPr>
            <w:tcW w:w="1850" w:type="dxa"/>
            <w:shd w:val="clear" w:color="auto" w:fill="2E74B5"/>
          </w:tcPr>
          <w:p w14:paraId="5BF7E40B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Pathway / mechanism</w:t>
            </w:r>
          </w:p>
        </w:tc>
        <w:tc>
          <w:tcPr>
            <w:tcW w:w="1350" w:type="dxa"/>
            <w:shd w:val="clear" w:color="auto" w:fill="2E74B5"/>
          </w:tcPr>
          <w:p w14:paraId="4FF452EF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Protective factors</w:t>
            </w:r>
          </w:p>
        </w:tc>
        <w:tc>
          <w:tcPr>
            <w:tcW w:w="1660" w:type="dxa"/>
            <w:shd w:val="clear" w:color="auto" w:fill="2E74B5"/>
          </w:tcPr>
          <w:p w14:paraId="6B1E8BF7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proofErr w:type="gramStart"/>
            <w:r w:rsidRPr="0006202A">
              <w:rPr>
                <w:rFonts w:ascii="Arial" w:hAnsi="Arial" w:cs="Arial"/>
                <w:b/>
                <w:color w:val="FFFFFF"/>
                <w:sz w:val="15"/>
              </w:rPr>
              <w:t>Unknowns</w:t>
            </w:r>
            <w:proofErr w:type="gramEnd"/>
            <w:r w:rsidRPr="0006202A">
              <w:rPr>
                <w:rFonts w:ascii="Arial" w:hAnsi="Arial" w:cs="Arial"/>
                <w:b/>
                <w:color w:val="FFFFFF"/>
                <w:sz w:val="15"/>
              </w:rPr>
              <w:t xml:space="preserve"> / assumptions to avoid</w:t>
            </w:r>
          </w:p>
        </w:tc>
      </w:tr>
      <w:tr w:rsidR="00826849" w:rsidRPr="0006202A" w14:paraId="4E0A2B63" w14:textId="77777777">
        <w:tc>
          <w:tcPr>
            <w:tcW w:w="1750" w:type="dxa"/>
          </w:tcPr>
          <w:p w14:paraId="41404C6C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Structural and policy context</w:t>
            </w:r>
          </w:p>
        </w:tc>
        <w:tc>
          <w:tcPr>
            <w:tcW w:w="700" w:type="dxa"/>
          </w:tcPr>
          <w:p w14:paraId="5AC0A1DA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</w:tcPr>
          <w:p w14:paraId="2B0E0123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534E667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1BED44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10E18B59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37AB7E9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925677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3AFF0192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63EC008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FDC0CC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</w:tcPr>
          <w:p w14:paraId="67E25BA5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71E2BBC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24BB92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0C22D570" w14:textId="77777777">
        <w:tc>
          <w:tcPr>
            <w:tcW w:w="1750" w:type="dxa"/>
            <w:shd w:val="clear" w:color="auto" w:fill="F4F6F9"/>
          </w:tcPr>
          <w:p w14:paraId="772F4D3A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Commercial determinants</w:t>
            </w:r>
          </w:p>
        </w:tc>
        <w:tc>
          <w:tcPr>
            <w:tcW w:w="700" w:type="dxa"/>
            <w:shd w:val="clear" w:color="auto" w:fill="F4F6F9"/>
          </w:tcPr>
          <w:p w14:paraId="6CB2A93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  <w:shd w:val="clear" w:color="auto" w:fill="F4F6F9"/>
          </w:tcPr>
          <w:p w14:paraId="1D12D2FD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7635014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A8025E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  <w:shd w:val="clear" w:color="auto" w:fill="F4F6F9"/>
          </w:tcPr>
          <w:p w14:paraId="513A6EC6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49B87EB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5E1213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  <w:shd w:val="clear" w:color="auto" w:fill="F4F6F9"/>
          </w:tcPr>
          <w:p w14:paraId="68C34D49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2778C65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F5E6CE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  <w:shd w:val="clear" w:color="auto" w:fill="F4F6F9"/>
          </w:tcPr>
          <w:p w14:paraId="448567BC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4CE9748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327779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64526FD5" w14:textId="77777777">
        <w:tc>
          <w:tcPr>
            <w:tcW w:w="1750" w:type="dxa"/>
          </w:tcPr>
          <w:p w14:paraId="2F62E26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Social position and distribution of resources</w:t>
            </w:r>
          </w:p>
        </w:tc>
        <w:tc>
          <w:tcPr>
            <w:tcW w:w="700" w:type="dxa"/>
          </w:tcPr>
          <w:p w14:paraId="7F949CE0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</w:tcPr>
          <w:p w14:paraId="03532933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28604BB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14487B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0D16593C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2D6A14A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9A7644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05BE92D9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7B1431E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0CB1EB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</w:tcPr>
          <w:p w14:paraId="1B6559EC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1A37829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E9A664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0D0C997E" w14:textId="77777777">
        <w:tc>
          <w:tcPr>
            <w:tcW w:w="1750" w:type="dxa"/>
            <w:shd w:val="clear" w:color="auto" w:fill="F4F6F9"/>
          </w:tcPr>
          <w:p w14:paraId="49992781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Material and environmental circumstances</w:t>
            </w:r>
          </w:p>
        </w:tc>
        <w:tc>
          <w:tcPr>
            <w:tcW w:w="700" w:type="dxa"/>
            <w:shd w:val="clear" w:color="auto" w:fill="F4F6F9"/>
          </w:tcPr>
          <w:p w14:paraId="138D53A3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  <w:shd w:val="clear" w:color="auto" w:fill="F4F6F9"/>
          </w:tcPr>
          <w:p w14:paraId="2FCE4A8A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180E5E1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A3B3BB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  <w:shd w:val="clear" w:color="auto" w:fill="F4F6F9"/>
          </w:tcPr>
          <w:p w14:paraId="4D6DD1C3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0915056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67BFE0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  <w:shd w:val="clear" w:color="auto" w:fill="F4F6F9"/>
          </w:tcPr>
          <w:p w14:paraId="5DCE322E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4A67F96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1D7FDC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  <w:shd w:val="clear" w:color="auto" w:fill="F4F6F9"/>
          </w:tcPr>
          <w:p w14:paraId="26304DFB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262C6BF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1372ED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44BEE71F" w14:textId="77777777">
        <w:tc>
          <w:tcPr>
            <w:tcW w:w="1750" w:type="dxa"/>
          </w:tcPr>
          <w:p w14:paraId="376930C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Social relationships and psychosocial circumstances</w:t>
            </w:r>
          </w:p>
        </w:tc>
        <w:tc>
          <w:tcPr>
            <w:tcW w:w="700" w:type="dxa"/>
          </w:tcPr>
          <w:p w14:paraId="5980BFAB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</w:tcPr>
          <w:p w14:paraId="3B45F59D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05EC507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5D8BE0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76FFCF1D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4EB975E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BEE28F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3AA66F16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1E00734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2539EA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</w:tcPr>
          <w:p w14:paraId="2CF91134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6A15D0C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1F6664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27168CC1" w14:textId="77777777">
        <w:tc>
          <w:tcPr>
            <w:tcW w:w="1750" w:type="dxa"/>
            <w:shd w:val="clear" w:color="auto" w:fill="F4F6F9"/>
          </w:tcPr>
          <w:p w14:paraId="6AB5599D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Healthcare access and service experience</w:t>
            </w:r>
          </w:p>
        </w:tc>
        <w:tc>
          <w:tcPr>
            <w:tcW w:w="700" w:type="dxa"/>
            <w:shd w:val="clear" w:color="auto" w:fill="F4F6F9"/>
          </w:tcPr>
          <w:p w14:paraId="4A3BD592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  <w:shd w:val="clear" w:color="auto" w:fill="F4F6F9"/>
          </w:tcPr>
          <w:p w14:paraId="747D0D57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7C75B17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A274EB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  <w:shd w:val="clear" w:color="auto" w:fill="F4F6F9"/>
          </w:tcPr>
          <w:p w14:paraId="6104C7BB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0F6F42A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A5DB65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  <w:shd w:val="clear" w:color="auto" w:fill="F4F6F9"/>
          </w:tcPr>
          <w:p w14:paraId="38294375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220DB22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278430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  <w:shd w:val="clear" w:color="auto" w:fill="F4F6F9"/>
          </w:tcPr>
          <w:p w14:paraId="5AB15576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602886D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DCA5B2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4262464F" w14:textId="77777777">
        <w:tc>
          <w:tcPr>
            <w:tcW w:w="1750" w:type="dxa"/>
          </w:tcPr>
          <w:p w14:paraId="27228F72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Health-related practices and exposures</w:t>
            </w:r>
          </w:p>
        </w:tc>
        <w:tc>
          <w:tcPr>
            <w:tcW w:w="700" w:type="dxa"/>
          </w:tcPr>
          <w:p w14:paraId="73E5DF41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</w:tcPr>
          <w:p w14:paraId="54B2AE75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65DBA36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619A68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111559CA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7B22535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EE3992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2C774CB4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77C65FA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050170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</w:tcPr>
          <w:p w14:paraId="6B8F6816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7799155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6D3B20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6AE9CA07" w14:textId="77777777">
        <w:tc>
          <w:tcPr>
            <w:tcW w:w="1750" w:type="dxa"/>
            <w:shd w:val="clear" w:color="auto" w:fill="F4F6F9"/>
          </w:tcPr>
          <w:p w14:paraId="4F30174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Biological pathways and susceptibility</w:t>
            </w:r>
          </w:p>
        </w:tc>
        <w:tc>
          <w:tcPr>
            <w:tcW w:w="700" w:type="dxa"/>
            <w:shd w:val="clear" w:color="auto" w:fill="F4F6F9"/>
          </w:tcPr>
          <w:p w14:paraId="02F9925A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  <w:shd w:val="clear" w:color="auto" w:fill="F4F6F9"/>
          </w:tcPr>
          <w:p w14:paraId="3B7049D5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5DCD40A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6353F9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  <w:shd w:val="clear" w:color="auto" w:fill="F4F6F9"/>
          </w:tcPr>
          <w:p w14:paraId="63D4B122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719C512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4E2ED7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  <w:shd w:val="clear" w:color="auto" w:fill="F4F6F9"/>
          </w:tcPr>
          <w:p w14:paraId="60BB9D41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188CAFF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847590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  <w:shd w:val="clear" w:color="auto" w:fill="F4F6F9"/>
          </w:tcPr>
          <w:p w14:paraId="142FCB52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0897D7D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4401EC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0DA2C03E" w14:textId="77777777">
        <w:tc>
          <w:tcPr>
            <w:tcW w:w="1750" w:type="dxa"/>
          </w:tcPr>
          <w:p w14:paraId="25F8538C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proofErr w:type="gramStart"/>
            <w:r w:rsidRPr="0006202A">
              <w:rPr>
                <w:rFonts w:ascii="Arial" w:hAnsi="Arial" w:cs="Arial"/>
                <w:b/>
                <w:color w:val="17365D"/>
                <w:sz w:val="15"/>
              </w:rPr>
              <w:t>Life-course</w:t>
            </w:r>
            <w:proofErr w:type="gramEnd"/>
            <w:r w:rsidRPr="0006202A">
              <w:rPr>
                <w:rFonts w:ascii="Arial" w:hAnsi="Arial" w:cs="Arial"/>
                <w:b/>
                <w:color w:val="17365D"/>
                <w:sz w:val="15"/>
              </w:rPr>
              <w:t xml:space="preserve"> and cumulative influences</w:t>
            </w:r>
          </w:p>
        </w:tc>
        <w:tc>
          <w:tcPr>
            <w:tcW w:w="700" w:type="dxa"/>
          </w:tcPr>
          <w:p w14:paraId="42A9F601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</w:tcPr>
          <w:p w14:paraId="0D4F5D88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38C3E3B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E042EA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117FE0CB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71DF90D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8C400F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0266BA03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39FABF3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38738D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</w:tcPr>
          <w:p w14:paraId="559C6AFE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6CC178C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543305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57387392" w14:textId="77777777">
        <w:tc>
          <w:tcPr>
            <w:tcW w:w="1750" w:type="dxa"/>
            <w:shd w:val="clear" w:color="auto" w:fill="F4F6F9"/>
          </w:tcPr>
          <w:p w14:paraId="37B5D24E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5"/>
              </w:rPr>
              <w:t>Patient agency, assets and community resources</w:t>
            </w:r>
          </w:p>
        </w:tc>
        <w:tc>
          <w:tcPr>
            <w:tcW w:w="700" w:type="dxa"/>
            <w:shd w:val="clear" w:color="auto" w:fill="F4F6F9"/>
          </w:tcPr>
          <w:p w14:paraId="5551D4A0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sz w:val="15"/>
              </w:rPr>
              <w:t>0 / 1 / 2 / 3</w:t>
            </w:r>
            <w:r w:rsidRPr="0006202A">
              <w:rPr>
                <w:rFonts w:ascii="Arial" w:hAnsi="Arial" w:cs="Arial"/>
                <w:sz w:val="15"/>
              </w:rPr>
              <w:br/>
              <w:t>P / U / N/A</w:t>
            </w:r>
          </w:p>
        </w:tc>
        <w:tc>
          <w:tcPr>
            <w:tcW w:w="2050" w:type="dxa"/>
            <w:shd w:val="clear" w:color="auto" w:fill="F4F6F9"/>
          </w:tcPr>
          <w:p w14:paraId="3F56D33E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00F2D88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F6A69B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  <w:shd w:val="clear" w:color="auto" w:fill="F4F6F9"/>
          </w:tcPr>
          <w:p w14:paraId="3065AEA7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47EA0BB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8D05D8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  <w:shd w:val="clear" w:color="auto" w:fill="F4F6F9"/>
          </w:tcPr>
          <w:p w14:paraId="6CA0A2B0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698E1F0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C48B7A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0" w:type="dxa"/>
            <w:shd w:val="clear" w:color="auto" w:fill="F4F6F9"/>
          </w:tcPr>
          <w:p w14:paraId="5CB9EA97" w14:textId="77777777" w:rsidR="00826849" w:rsidRPr="0006202A" w:rsidRDefault="00826849">
            <w:pPr>
              <w:spacing w:after="0"/>
              <w:rPr>
                <w:rFonts w:ascii="Arial" w:hAnsi="Arial" w:cs="Arial"/>
              </w:rPr>
            </w:pPr>
          </w:p>
          <w:p w14:paraId="63697EC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13206B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2BB680C1" w14:textId="77777777" w:rsidR="00826849" w:rsidRPr="0006202A" w:rsidRDefault="00000000">
      <w:pPr>
        <w:rPr>
          <w:rFonts w:ascii="Arial" w:hAnsi="Arial" w:cs="Arial"/>
        </w:rPr>
      </w:pPr>
      <w:r w:rsidRPr="0006202A">
        <w:rPr>
          <w:rFonts w:ascii="Arial" w:hAnsi="Arial" w:cs="Arial"/>
        </w:rPr>
        <w:br w:type="page"/>
      </w:r>
    </w:p>
    <w:p w14:paraId="1376485A" w14:textId="77777777" w:rsidR="00826849" w:rsidRPr="0006202A" w:rsidRDefault="00000000">
      <w:pPr>
        <w:pStyle w:val="Heading1"/>
        <w:rPr>
          <w:rFonts w:ascii="Arial" w:hAnsi="Arial" w:cs="Arial"/>
        </w:rPr>
      </w:pPr>
      <w:r w:rsidRPr="0006202A">
        <w:rPr>
          <w:rFonts w:ascii="Arial" w:hAnsi="Arial" w:cs="Arial"/>
        </w:rPr>
        <w:lastRenderedPageBreak/>
        <w:t>Part 5. Causal pathway, stakeholders and power</w:t>
      </w:r>
    </w:p>
    <w:p w14:paraId="3BC26F2D" w14:textId="77777777" w:rsidR="00826849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Causal pathway map</w:t>
      </w:r>
    </w:p>
    <w:p w14:paraId="2D2FD9F4" w14:textId="77777777" w:rsidR="00826849" w:rsidRPr="0006202A" w:rsidRDefault="00000000">
      <w:pPr>
        <w:spacing w:after="120"/>
        <w:rPr>
          <w:rFonts w:ascii="Arial" w:hAnsi="Arial" w:cs="Arial"/>
        </w:rPr>
      </w:pPr>
      <w:r w:rsidRPr="0006202A">
        <w:rPr>
          <w:rFonts w:ascii="Arial" w:hAnsi="Arial" w:cs="Arial"/>
        </w:rPr>
        <w:t xml:space="preserve">Trace the pathway without reducing the explanation to an individual </w:t>
      </w:r>
      <w:proofErr w:type="spellStart"/>
      <w:r w:rsidRPr="0006202A">
        <w:rPr>
          <w:rFonts w:ascii="Arial" w:hAnsi="Arial" w:cs="Arial"/>
        </w:rPr>
        <w:t>behaviour</w:t>
      </w:r>
      <w:proofErr w:type="spellEnd"/>
      <w:r w:rsidRPr="0006202A">
        <w:rPr>
          <w:rFonts w:ascii="Arial" w:hAnsi="Arial" w:cs="Arial"/>
        </w:rPr>
        <w:t>.</w:t>
      </w:r>
    </w:p>
    <w:p w14:paraId="1FC93FDB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complete the causal pathway map</w:t>
      </w:r>
    </w:p>
    <w:p w14:paraId="06A382B6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Determinant / asset: </w:t>
      </w:r>
      <w:r w:rsidRPr="0006202A">
        <w:rPr>
          <w:rFonts w:ascii="Arial" w:hAnsi="Arial" w:cs="Arial"/>
        </w:rPr>
        <w:t>Select the most influential factors from the scored profile rather than copying every domain.</w:t>
      </w:r>
    </w:p>
    <w:p w14:paraId="49DA44E7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Level: </w:t>
      </w:r>
      <w:r w:rsidRPr="0006202A">
        <w:rPr>
          <w:rFonts w:ascii="Arial" w:hAnsi="Arial" w:cs="Arial"/>
        </w:rPr>
        <w:t>Classify where it operates: structural/policy, commercial, social position, intermediary/material, psychosocial, service, proximal/</w:t>
      </w:r>
      <w:proofErr w:type="spellStart"/>
      <w:r w:rsidRPr="0006202A">
        <w:rPr>
          <w:rFonts w:ascii="Arial" w:hAnsi="Arial" w:cs="Arial"/>
        </w:rPr>
        <w:t>behavioural</w:t>
      </w:r>
      <w:proofErr w:type="spellEnd"/>
      <w:r w:rsidRPr="0006202A">
        <w:rPr>
          <w:rFonts w:ascii="Arial" w:hAnsi="Arial" w:cs="Arial"/>
        </w:rPr>
        <w:t>, biological or protective asset.</w:t>
      </w:r>
    </w:p>
    <w:p w14:paraId="55922204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Mechanism: </w:t>
      </w:r>
      <w:r w:rsidRPr="0006202A">
        <w:rPr>
          <w:rFonts w:ascii="Arial" w:hAnsi="Arial" w:cs="Arial"/>
        </w:rPr>
        <w:t>Write the connecting process using a short “because/therefore” chain.</w:t>
      </w:r>
    </w:p>
    <w:p w14:paraId="622FD3F6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Effect on oral health: </w:t>
      </w:r>
      <w:r w:rsidRPr="0006202A">
        <w:rPr>
          <w:rFonts w:ascii="Arial" w:hAnsi="Arial" w:cs="Arial"/>
        </w:rPr>
        <w:t>State the effect on disease, symptoms, function, wellbeing or prognosis.</w:t>
      </w:r>
    </w:p>
    <w:p w14:paraId="5FE35C68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Effect on care: </w:t>
      </w:r>
      <w:r w:rsidRPr="0006202A">
        <w:rPr>
          <w:rFonts w:ascii="Arial" w:hAnsi="Arial" w:cs="Arial"/>
        </w:rPr>
        <w:t>State the effect on access, communication, consent, attendance, treatment feasibility or continuity.</w:t>
      </w:r>
    </w:p>
    <w:p w14:paraId="305CEC08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Evidence / uncertainty: </w:t>
      </w:r>
      <w:r w:rsidRPr="0006202A">
        <w:rPr>
          <w:rFonts w:ascii="Arial" w:hAnsi="Arial" w:cs="Arial"/>
        </w:rPr>
        <w:t>Identify the source and strength of evidence and what remains uncertain.</w:t>
      </w:r>
    </w:p>
    <w:p w14:paraId="77D7B81C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Do not jump directly from identity or socioeconomic status to disease without describing the pathway between them.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1450"/>
        <w:gridCol w:w="1350"/>
        <w:gridCol w:w="1750"/>
        <w:gridCol w:w="1700"/>
        <w:gridCol w:w="1500"/>
        <w:gridCol w:w="1610"/>
      </w:tblGrid>
      <w:tr w:rsidR="00826849" w:rsidRPr="0006202A" w14:paraId="247EA139" w14:textId="77777777">
        <w:trPr>
          <w:tblHeader/>
        </w:trPr>
        <w:tc>
          <w:tcPr>
            <w:tcW w:w="1450" w:type="dxa"/>
            <w:shd w:val="clear" w:color="auto" w:fill="2E74B5"/>
          </w:tcPr>
          <w:p w14:paraId="29BEF5C5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Determinant / asset</w:t>
            </w:r>
          </w:p>
        </w:tc>
        <w:tc>
          <w:tcPr>
            <w:tcW w:w="1350" w:type="dxa"/>
            <w:shd w:val="clear" w:color="auto" w:fill="2E74B5"/>
          </w:tcPr>
          <w:p w14:paraId="1DE75A1D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Level</w:t>
            </w:r>
          </w:p>
        </w:tc>
        <w:tc>
          <w:tcPr>
            <w:tcW w:w="1750" w:type="dxa"/>
            <w:shd w:val="clear" w:color="auto" w:fill="2E74B5"/>
          </w:tcPr>
          <w:p w14:paraId="4F78D251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Mechanism</w:t>
            </w:r>
          </w:p>
        </w:tc>
        <w:tc>
          <w:tcPr>
            <w:tcW w:w="1700" w:type="dxa"/>
            <w:shd w:val="clear" w:color="auto" w:fill="2E74B5"/>
          </w:tcPr>
          <w:p w14:paraId="692947B6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Effect on oral health</w:t>
            </w:r>
          </w:p>
        </w:tc>
        <w:tc>
          <w:tcPr>
            <w:tcW w:w="1500" w:type="dxa"/>
            <w:shd w:val="clear" w:color="auto" w:fill="2E74B5"/>
          </w:tcPr>
          <w:p w14:paraId="6FB10C9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Effect on care</w:t>
            </w:r>
          </w:p>
        </w:tc>
        <w:tc>
          <w:tcPr>
            <w:tcW w:w="1610" w:type="dxa"/>
            <w:shd w:val="clear" w:color="auto" w:fill="2E74B5"/>
          </w:tcPr>
          <w:p w14:paraId="763D309B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Evidence / uncertainty</w:t>
            </w:r>
          </w:p>
        </w:tc>
      </w:tr>
      <w:tr w:rsidR="00826849" w:rsidRPr="0006202A" w14:paraId="5E1FC0CA" w14:textId="77777777">
        <w:tc>
          <w:tcPr>
            <w:tcW w:w="1450" w:type="dxa"/>
          </w:tcPr>
          <w:p w14:paraId="28FBC560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DCFBA2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52578E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99C371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48FA734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B244EC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AEF94D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42DE6C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0" w:type="dxa"/>
          </w:tcPr>
          <w:p w14:paraId="4FFC397D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A36434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EBFF6F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571A14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0" w:type="dxa"/>
          </w:tcPr>
          <w:p w14:paraId="43458BF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E186FA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A7F63F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42A7A2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</w:tcPr>
          <w:p w14:paraId="5C9C32C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F55FB7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09D4DB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DBB299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10" w:type="dxa"/>
          </w:tcPr>
          <w:p w14:paraId="503763F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802D9F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070AD6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DB905C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729C1DEC" w14:textId="77777777">
        <w:tc>
          <w:tcPr>
            <w:tcW w:w="1450" w:type="dxa"/>
          </w:tcPr>
          <w:p w14:paraId="0333FE3F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CAD69D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3C2245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9F9EAA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33AC3E4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1DEA87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5F2130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2D000A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0" w:type="dxa"/>
          </w:tcPr>
          <w:p w14:paraId="70B6DB9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2131B8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213E4A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036E57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0" w:type="dxa"/>
          </w:tcPr>
          <w:p w14:paraId="050E763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6DA611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2CC91C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D00EC3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</w:tcPr>
          <w:p w14:paraId="7771BB0F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122358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86D028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90666C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10" w:type="dxa"/>
          </w:tcPr>
          <w:p w14:paraId="55A2D98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3810BE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8B3802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948381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40D7B0F7" w14:textId="77777777">
        <w:tc>
          <w:tcPr>
            <w:tcW w:w="1450" w:type="dxa"/>
          </w:tcPr>
          <w:p w14:paraId="6A34CB96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673263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A8DD4F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E2FB80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07B4F75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4824B1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587231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C5B227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0" w:type="dxa"/>
          </w:tcPr>
          <w:p w14:paraId="0F46370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3B8D9F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58D84F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133854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0" w:type="dxa"/>
          </w:tcPr>
          <w:p w14:paraId="008BA99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8F5C85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812A9B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F04973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</w:tcPr>
          <w:p w14:paraId="4E2B2700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884000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B02860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ADD9BA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10" w:type="dxa"/>
          </w:tcPr>
          <w:p w14:paraId="42AA3ED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838EB9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AB39A0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729275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14A68BE7" w14:textId="77777777">
        <w:tc>
          <w:tcPr>
            <w:tcW w:w="1450" w:type="dxa"/>
          </w:tcPr>
          <w:p w14:paraId="2DACC49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7FE3B3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F331BA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6B7B71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00F8EC9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89A207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BDC88D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67A7EF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0" w:type="dxa"/>
          </w:tcPr>
          <w:p w14:paraId="3465A21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A076C4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9D27EB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B53396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0" w:type="dxa"/>
          </w:tcPr>
          <w:p w14:paraId="32CDC38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AD2610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3E19E6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18723E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</w:tcPr>
          <w:p w14:paraId="4879DF4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677E97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144039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94AD31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10" w:type="dxa"/>
          </w:tcPr>
          <w:p w14:paraId="76919A6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ADE762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368A53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0980FE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164C4752" w14:textId="77777777">
        <w:tc>
          <w:tcPr>
            <w:tcW w:w="1450" w:type="dxa"/>
          </w:tcPr>
          <w:p w14:paraId="5451C9F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0BD4F7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99F2A9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A31442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5F0FBA6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96F948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8A2E4D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C31596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0" w:type="dxa"/>
          </w:tcPr>
          <w:p w14:paraId="7C3EB93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D53C70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2060D0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D2E06E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0" w:type="dxa"/>
          </w:tcPr>
          <w:p w14:paraId="09CBAB7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57D4B5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2BF5BE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234D7C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</w:tcPr>
          <w:p w14:paraId="5047A020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6D6BE7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756E3E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B72FA7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10" w:type="dxa"/>
          </w:tcPr>
          <w:p w14:paraId="44FFEC1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910288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BEFD9D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B86328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2FF5A596" w14:textId="77777777">
        <w:tc>
          <w:tcPr>
            <w:tcW w:w="1450" w:type="dxa"/>
          </w:tcPr>
          <w:p w14:paraId="0758E12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7C1FF7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87151F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E62485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0" w:type="dxa"/>
          </w:tcPr>
          <w:p w14:paraId="7B7D5896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2BC7AC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3BF5A7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EFD90B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0" w:type="dxa"/>
          </w:tcPr>
          <w:p w14:paraId="20A4C8D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CBABC1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2CDED0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10C2F4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0" w:type="dxa"/>
          </w:tcPr>
          <w:p w14:paraId="0B7F17B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5BE1F5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9C57EF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8A37C5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</w:tcPr>
          <w:p w14:paraId="32E6674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C140B7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807DE4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0E7C0D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10" w:type="dxa"/>
          </w:tcPr>
          <w:p w14:paraId="75DD803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D8BEFA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C76C73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3C677F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7DDE3751" w14:textId="77777777" w:rsidR="00826849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lastRenderedPageBreak/>
        <w:t>Stakeholder and power analysis</w:t>
      </w:r>
    </w:p>
    <w:p w14:paraId="50FD17BC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complete the stakeholder and power analysis</w:t>
      </w:r>
    </w:p>
    <w:p w14:paraId="18846423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Person / service / system: </w:t>
      </w:r>
      <w:r w:rsidRPr="0006202A">
        <w:rPr>
          <w:rFonts w:ascii="Arial" w:hAnsi="Arial" w:cs="Arial"/>
        </w:rPr>
        <w:t xml:space="preserve">Include the patient, family/carers where relevant, dental team, other clinicians, </w:t>
      </w:r>
      <w:proofErr w:type="spellStart"/>
      <w:r w:rsidRPr="0006202A">
        <w:rPr>
          <w:rFonts w:ascii="Arial" w:hAnsi="Arial" w:cs="Arial"/>
        </w:rPr>
        <w:t>organisations</w:t>
      </w:r>
      <w:proofErr w:type="spellEnd"/>
      <w:r w:rsidRPr="0006202A">
        <w:rPr>
          <w:rFonts w:ascii="Arial" w:hAnsi="Arial" w:cs="Arial"/>
        </w:rPr>
        <w:t>, funders and policy systems.</w:t>
      </w:r>
    </w:p>
    <w:p w14:paraId="2A024837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Role: </w:t>
      </w:r>
      <w:r w:rsidRPr="0006202A">
        <w:rPr>
          <w:rFonts w:ascii="Arial" w:hAnsi="Arial" w:cs="Arial"/>
        </w:rPr>
        <w:t>Describe what each stakeholder does or how they affect the case.</w:t>
      </w:r>
    </w:p>
    <w:p w14:paraId="349933FB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Power or influence: </w:t>
      </w:r>
      <w:r w:rsidRPr="0006202A">
        <w:rPr>
          <w:rFonts w:ascii="Arial" w:hAnsi="Arial" w:cs="Arial"/>
        </w:rPr>
        <w:t>Consider who controls information, appointments, eligibility, resources, treatment options and decision-making.</w:t>
      </w:r>
    </w:p>
    <w:p w14:paraId="746C0164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Patient’s degree of control: </w:t>
      </w:r>
      <w:r w:rsidRPr="0006202A">
        <w:rPr>
          <w:rFonts w:ascii="Arial" w:hAnsi="Arial" w:cs="Arial"/>
        </w:rPr>
        <w:t>Describe where the patient has choice and where choices are constrained.</w:t>
      </w:r>
    </w:p>
    <w:p w14:paraId="6E7E5808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Questions / unknowns: </w:t>
      </w:r>
      <w:r w:rsidRPr="0006202A">
        <w:rPr>
          <w:rFonts w:ascii="Arial" w:hAnsi="Arial" w:cs="Arial"/>
        </w:rPr>
        <w:t>Record missing perspectives, consent requirements and possible conflicts of interest.</w:t>
      </w:r>
    </w:p>
    <w:p w14:paraId="00040ABE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Do not discuss power only as an individual personality issue; institutional rules and professional authority also shape care.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900"/>
        <w:gridCol w:w="2100"/>
        <w:gridCol w:w="1850"/>
        <w:gridCol w:w="1910"/>
      </w:tblGrid>
      <w:tr w:rsidR="00826849" w:rsidRPr="0006202A" w14:paraId="3C55F3AC" w14:textId="77777777">
        <w:trPr>
          <w:tblHeader/>
        </w:trPr>
        <w:tc>
          <w:tcPr>
            <w:tcW w:w="1600" w:type="dxa"/>
            <w:shd w:val="clear" w:color="auto" w:fill="2E74B5"/>
          </w:tcPr>
          <w:p w14:paraId="361CDACA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Person / service / system</w:t>
            </w:r>
          </w:p>
        </w:tc>
        <w:tc>
          <w:tcPr>
            <w:tcW w:w="1900" w:type="dxa"/>
            <w:shd w:val="clear" w:color="auto" w:fill="2E74B5"/>
          </w:tcPr>
          <w:p w14:paraId="0C0240F8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Role in the case</w:t>
            </w:r>
          </w:p>
        </w:tc>
        <w:tc>
          <w:tcPr>
            <w:tcW w:w="2100" w:type="dxa"/>
            <w:shd w:val="clear" w:color="auto" w:fill="2E74B5"/>
          </w:tcPr>
          <w:p w14:paraId="4D83134E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Power or influence</w:t>
            </w:r>
          </w:p>
        </w:tc>
        <w:tc>
          <w:tcPr>
            <w:tcW w:w="1850" w:type="dxa"/>
            <w:shd w:val="clear" w:color="auto" w:fill="2E74B5"/>
          </w:tcPr>
          <w:p w14:paraId="38886D6E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Patient’s degree of control</w:t>
            </w:r>
          </w:p>
        </w:tc>
        <w:tc>
          <w:tcPr>
            <w:tcW w:w="1910" w:type="dxa"/>
            <w:shd w:val="clear" w:color="auto" w:fill="2E74B5"/>
          </w:tcPr>
          <w:p w14:paraId="64DAE37C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Questions / unknowns</w:t>
            </w:r>
          </w:p>
        </w:tc>
      </w:tr>
      <w:tr w:rsidR="00826849" w:rsidRPr="0006202A" w14:paraId="7D308F3F" w14:textId="77777777">
        <w:tc>
          <w:tcPr>
            <w:tcW w:w="1600" w:type="dxa"/>
          </w:tcPr>
          <w:p w14:paraId="4871EF5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5F7BEF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C66B65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00" w:type="dxa"/>
          </w:tcPr>
          <w:p w14:paraId="2B6E1DE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A7E92F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4D807D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00" w:type="dxa"/>
          </w:tcPr>
          <w:p w14:paraId="0EB15FE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5B80AF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08A53F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15C5071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2AD288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7F8F84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10" w:type="dxa"/>
          </w:tcPr>
          <w:p w14:paraId="755A3DF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20936E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68D137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36826EDC" w14:textId="77777777">
        <w:tc>
          <w:tcPr>
            <w:tcW w:w="1600" w:type="dxa"/>
          </w:tcPr>
          <w:p w14:paraId="4AF46DF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E2C070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A16976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00" w:type="dxa"/>
          </w:tcPr>
          <w:p w14:paraId="6FB9ECB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ABAA36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51AD95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00" w:type="dxa"/>
          </w:tcPr>
          <w:p w14:paraId="220FD5C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489667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62C08D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525D043D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5787EF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AAB854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10" w:type="dxa"/>
          </w:tcPr>
          <w:p w14:paraId="71259DF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B29A8A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AB395B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31AFBAAA" w14:textId="77777777">
        <w:tc>
          <w:tcPr>
            <w:tcW w:w="1600" w:type="dxa"/>
          </w:tcPr>
          <w:p w14:paraId="44E3B34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E6298D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78D6FD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00" w:type="dxa"/>
          </w:tcPr>
          <w:p w14:paraId="6807F30D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4042E2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F6BBF1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00" w:type="dxa"/>
          </w:tcPr>
          <w:p w14:paraId="638E101F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C0D556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691DF4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252E991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7B4682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F0C03E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10" w:type="dxa"/>
          </w:tcPr>
          <w:p w14:paraId="7AFF3C36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CB5EEC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A956E2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5129DF90" w14:textId="77777777">
        <w:tc>
          <w:tcPr>
            <w:tcW w:w="1600" w:type="dxa"/>
          </w:tcPr>
          <w:p w14:paraId="3D98E63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DC3EF3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0BD162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00" w:type="dxa"/>
          </w:tcPr>
          <w:p w14:paraId="0106C13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B2F0A8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6B4F6E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00" w:type="dxa"/>
          </w:tcPr>
          <w:p w14:paraId="7770D0F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E0D4D6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F60235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4638AB2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70ADC4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6B0380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10" w:type="dxa"/>
          </w:tcPr>
          <w:p w14:paraId="71612D0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809DF0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DBEF0D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0E8D0A75" w14:textId="77777777">
        <w:tc>
          <w:tcPr>
            <w:tcW w:w="1600" w:type="dxa"/>
          </w:tcPr>
          <w:p w14:paraId="4E727C8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920A32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4210EE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00" w:type="dxa"/>
          </w:tcPr>
          <w:p w14:paraId="5344882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72940A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4A113E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00" w:type="dxa"/>
          </w:tcPr>
          <w:p w14:paraId="4284DC88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E0D2AE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A34473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229D250F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1A371A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64B551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10" w:type="dxa"/>
          </w:tcPr>
          <w:p w14:paraId="430CACF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853B7E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EC1DEC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53D6F5E2" w14:textId="77777777" w:rsidR="00826849" w:rsidRPr="0006202A" w:rsidRDefault="00000000">
      <w:pPr>
        <w:rPr>
          <w:rFonts w:ascii="Arial" w:hAnsi="Arial" w:cs="Arial"/>
        </w:rPr>
      </w:pPr>
      <w:r w:rsidRPr="0006202A">
        <w:rPr>
          <w:rFonts w:ascii="Arial" w:hAnsi="Arial" w:cs="Arial"/>
        </w:rPr>
        <w:br w:type="page"/>
      </w:r>
    </w:p>
    <w:p w14:paraId="78A3AE99" w14:textId="77777777" w:rsidR="00826849" w:rsidRPr="0006202A" w:rsidRDefault="00000000">
      <w:pPr>
        <w:pStyle w:val="Heading1"/>
        <w:rPr>
          <w:rFonts w:ascii="Arial" w:hAnsi="Arial" w:cs="Arial"/>
        </w:rPr>
      </w:pPr>
      <w:r w:rsidRPr="0006202A">
        <w:rPr>
          <w:rFonts w:ascii="Arial" w:hAnsi="Arial" w:cs="Arial"/>
        </w:rPr>
        <w:lastRenderedPageBreak/>
        <w:t>Part 6. Intersectionality matrix</w:t>
      </w:r>
    </w:p>
    <w:tbl>
      <w:tblPr>
        <w:tblW w:w="9360" w:type="dxa"/>
        <w:tblInd w:w="120" w:type="dxa"/>
        <w:tblBorders>
          <w:top w:val="single" w:sz="0" w:space="0" w:color="FFF4D6"/>
          <w:left w:val="single" w:sz="0" w:space="0" w:color="FFF4D6"/>
          <w:bottom w:val="single" w:sz="0" w:space="0" w:color="FFF4D6"/>
          <w:right w:val="single" w:sz="0" w:space="0" w:color="FFF4D6"/>
          <w:insideH w:val="single" w:sz="0" w:space="0" w:color="FFF4D6"/>
          <w:insideV w:val="single" w:sz="0" w:space="0" w:color="FFF4D6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26849" w:rsidRPr="0006202A" w14:paraId="2CC49A30" w14:textId="77777777">
        <w:trPr>
          <w:tblHeader/>
        </w:trPr>
        <w:tc>
          <w:tcPr>
            <w:tcW w:w="9360" w:type="dxa"/>
            <w:shd w:val="clear" w:color="auto" w:fill="FFF4D6"/>
          </w:tcPr>
          <w:p w14:paraId="3A6E1912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proofErr w:type="gramStart"/>
            <w:r w:rsidRPr="0006202A">
              <w:rPr>
                <w:rFonts w:ascii="Arial" w:hAnsi="Arial" w:cs="Arial"/>
                <w:b/>
                <w:color w:val="17365D"/>
                <w:sz w:val="18"/>
              </w:rPr>
              <w:t>Intersectionality  Examine</w:t>
            </w:r>
            <w:proofErr w:type="gramEnd"/>
            <w:r w:rsidRPr="0006202A">
              <w:rPr>
                <w:rFonts w:ascii="Arial" w:hAnsi="Arial" w:cs="Arial"/>
                <w:b/>
                <w:color w:val="17365D"/>
                <w:sz w:val="18"/>
              </w:rPr>
              <w:t xml:space="preserve"> how identities, experiences, resources and systems operate together. An intersection is not simply a list of two characteristics; it should explain how power, opportunity, constraint or protection is produced through their interaction.</w:t>
            </w:r>
          </w:p>
        </w:tc>
      </w:tr>
    </w:tbl>
    <w:p w14:paraId="0D5BE454" w14:textId="77777777" w:rsidR="00826849" w:rsidRPr="0006202A" w:rsidRDefault="00826849">
      <w:pPr>
        <w:spacing w:after="20"/>
        <w:rPr>
          <w:rFonts w:ascii="Arial" w:hAnsi="Arial" w:cs="Arial"/>
        </w:rPr>
      </w:pPr>
    </w:p>
    <w:p w14:paraId="19532988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complete the intersectionality matrix</w:t>
      </w:r>
    </w:p>
    <w:p w14:paraId="266D1708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Choose an intersection: </w:t>
      </w:r>
      <w:r w:rsidRPr="0006202A">
        <w:rPr>
          <w:rFonts w:ascii="Arial" w:hAnsi="Arial" w:cs="Arial"/>
        </w:rPr>
        <w:t>Combine at least two relevant identities, experiences, resources or systems. Select intersections supported by the case, not every characteristic the patient has.</w:t>
      </w:r>
    </w:p>
    <w:p w14:paraId="42195277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Case evidence: </w:t>
      </w:r>
      <w:r w:rsidRPr="0006202A">
        <w:rPr>
          <w:rFonts w:ascii="Arial" w:hAnsi="Arial" w:cs="Arial"/>
        </w:rPr>
        <w:t xml:space="preserve">State what is </w:t>
      </w:r>
      <w:proofErr w:type="gramStart"/>
      <w:r w:rsidRPr="0006202A">
        <w:rPr>
          <w:rFonts w:ascii="Arial" w:hAnsi="Arial" w:cs="Arial"/>
        </w:rPr>
        <w:t>actually known</w:t>
      </w:r>
      <w:proofErr w:type="gramEnd"/>
      <w:r w:rsidRPr="0006202A">
        <w:rPr>
          <w:rFonts w:ascii="Arial" w:hAnsi="Arial" w:cs="Arial"/>
        </w:rPr>
        <w:t xml:space="preserve"> about the intersection.</w:t>
      </w:r>
    </w:p>
    <w:p w14:paraId="607D80C9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How they operate together: </w:t>
      </w:r>
      <w:r w:rsidRPr="0006202A">
        <w:rPr>
          <w:rFonts w:ascii="Arial" w:hAnsi="Arial" w:cs="Arial"/>
        </w:rPr>
        <w:t>Explain the combined effect. The interaction should show something that separate single-factor analysis would miss.</w:t>
      </w:r>
    </w:p>
    <w:p w14:paraId="49C28BE4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Power, privilege or structural context: </w:t>
      </w:r>
      <w:r w:rsidRPr="0006202A">
        <w:rPr>
          <w:rFonts w:ascii="Arial" w:hAnsi="Arial" w:cs="Arial"/>
        </w:rPr>
        <w:t>Identify how social norms, institutions, professional authority or resource distribution shape the intersection.</w:t>
      </w:r>
    </w:p>
    <w:p w14:paraId="477D80BF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Protective factors / agency: </w:t>
      </w:r>
      <w:r w:rsidRPr="0006202A">
        <w:rPr>
          <w:rFonts w:ascii="Arial" w:hAnsi="Arial" w:cs="Arial"/>
        </w:rPr>
        <w:t>Identify strengths, resources, belonging, entitlements or choices within the same intersection.</w:t>
      </w:r>
    </w:p>
    <w:p w14:paraId="34C0EDD6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Unknowns and assumptions: </w:t>
      </w:r>
      <w:r w:rsidRPr="0006202A">
        <w:rPr>
          <w:rFonts w:ascii="Arial" w:hAnsi="Arial" w:cs="Arial"/>
        </w:rPr>
        <w:t>Name missing information and stereotypes to avoid.</w:t>
      </w:r>
    </w:p>
    <w:p w14:paraId="68710B66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Intersectionality is not the addition of risk scores and does not mean that every identity creates disadvantage.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1550"/>
        <w:gridCol w:w="1850"/>
        <w:gridCol w:w="1650"/>
        <w:gridCol w:w="1450"/>
        <w:gridCol w:w="1460"/>
      </w:tblGrid>
      <w:tr w:rsidR="00826849" w:rsidRPr="0006202A" w14:paraId="21B200A2" w14:textId="77777777">
        <w:trPr>
          <w:tblHeader/>
        </w:trPr>
        <w:tc>
          <w:tcPr>
            <w:tcW w:w="1400" w:type="dxa"/>
            <w:shd w:val="clear" w:color="auto" w:fill="2E74B5"/>
          </w:tcPr>
          <w:p w14:paraId="53CF2E08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Intersecting identities / experiences / systems</w:t>
            </w:r>
          </w:p>
        </w:tc>
        <w:tc>
          <w:tcPr>
            <w:tcW w:w="1550" w:type="dxa"/>
            <w:shd w:val="clear" w:color="auto" w:fill="2E74B5"/>
          </w:tcPr>
          <w:p w14:paraId="4E25CAE9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Case evidence</w:t>
            </w:r>
          </w:p>
        </w:tc>
        <w:tc>
          <w:tcPr>
            <w:tcW w:w="1850" w:type="dxa"/>
            <w:shd w:val="clear" w:color="auto" w:fill="2E74B5"/>
          </w:tcPr>
          <w:p w14:paraId="1AE63CF7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How do they operate together?</w:t>
            </w:r>
          </w:p>
        </w:tc>
        <w:tc>
          <w:tcPr>
            <w:tcW w:w="1650" w:type="dxa"/>
            <w:shd w:val="clear" w:color="auto" w:fill="2E74B5"/>
          </w:tcPr>
          <w:p w14:paraId="0DBD8DED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Power, privilege or structural context</w:t>
            </w:r>
          </w:p>
        </w:tc>
        <w:tc>
          <w:tcPr>
            <w:tcW w:w="1450" w:type="dxa"/>
            <w:shd w:val="clear" w:color="auto" w:fill="2E74B5"/>
          </w:tcPr>
          <w:p w14:paraId="3BFA676F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Protective factors / agency</w:t>
            </w:r>
          </w:p>
        </w:tc>
        <w:tc>
          <w:tcPr>
            <w:tcW w:w="1460" w:type="dxa"/>
            <w:shd w:val="clear" w:color="auto" w:fill="2E74B5"/>
          </w:tcPr>
          <w:p w14:paraId="105ED8DB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FFFFFF"/>
                <w:sz w:val="15"/>
              </w:rPr>
              <w:t>Unknowns and assumptions to avoid</w:t>
            </w:r>
          </w:p>
        </w:tc>
      </w:tr>
      <w:tr w:rsidR="00826849" w:rsidRPr="0006202A" w14:paraId="7002BCEB" w14:textId="77777777">
        <w:tc>
          <w:tcPr>
            <w:tcW w:w="1400" w:type="dxa"/>
          </w:tcPr>
          <w:p w14:paraId="44CF0DB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64EB8B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5103E8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B3AE3C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D405DD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0" w:type="dxa"/>
          </w:tcPr>
          <w:p w14:paraId="495D15B0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315E23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993692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736314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50DFD9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74C545B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F0F82F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120650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2D147F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1C38B7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</w:tcPr>
          <w:p w14:paraId="25C9B330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5EC0E4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BEDA65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712656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7C9743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667D351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C6B2AB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651B8F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832C94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F6197C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60" w:type="dxa"/>
          </w:tcPr>
          <w:p w14:paraId="5E09142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D56C1B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45216A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C3C76C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6A4EC1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74F23B5C" w14:textId="77777777">
        <w:tc>
          <w:tcPr>
            <w:tcW w:w="1400" w:type="dxa"/>
            <w:shd w:val="clear" w:color="auto" w:fill="F4F6F9"/>
          </w:tcPr>
          <w:p w14:paraId="34167FE7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E35968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8DDDD6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2831F5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B55460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0" w:type="dxa"/>
            <w:shd w:val="clear" w:color="auto" w:fill="F4F6F9"/>
          </w:tcPr>
          <w:p w14:paraId="116C986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E2026D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27F34D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51AE60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3F8B20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  <w:shd w:val="clear" w:color="auto" w:fill="F4F6F9"/>
          </w:tcPr>
          <w:p w14:paraId="06D1B81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68F26A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CCA197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040242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7B6D26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  <w:shd w:val="clear" w:color="auto" w:fill="F4F6F9"/>
          </w:tcPr>
          <w:p w14:paraId="5BB310D6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F99C3E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8FD267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2B8BFC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4A2F3E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  <w:shd w:val="clear" w:color="auto" w:fill="F4F6F9"/>
          </w:tcPr>
          <w:p w14:paraId="2A73323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0595CD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F4B722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C6832E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475290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60" w:type="dxa"/>
            <w:shd w:val="clear" w:color="auto" w:fill="F4F6F9"/>
          </w:tcPr>
          <w:p w14:paraId="0DB4917F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33E6A5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C823DB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B871CA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962235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76972B3E" w14:textId="77777777">
        <w:tc>
          <w:tcPr>
            <w:tcW w:w="1400" w:type="dxa"/>
          </w:tcPr>
          <w:p w14:paraId="0BDC1D3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659133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2429E6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0C3166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73F508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0" w:type="dxa"/>
          </w:tcPr>
          <w:p w14:paraId="3301F09D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C788F9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829D53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7E6A4A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6489C6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3AA4D23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020732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7EF42D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0E4F6F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AE45EE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</w:tcPr>
          <w:p w14:paraId="66192AE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E8F536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B7F89D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6D6998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1CD776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226AD209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708636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7DA793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368937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DECF77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60" w:type="dxa"/>
          </w:tcPr>
          <w:p w14:paraId="16DE90E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369033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EAD625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CA3A70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D4CCE6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440991D2" w14:textId="77777777">
        <w:tc>
          <w:tcPr>
            <w:tcW w:w="1400" w:type="dxa"/>
            <w:shd w:val="clear" w:color="auto" w:fill="F4F6F9"/>
          </w:tcPr>
          <w:p w14:paraId="2062E3F5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CD0005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2AA481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99BD06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996CE8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0" w:type="dxa"/>
            <w:shd w:val="clear" w:color="auto" w:fill="F4F6F9"/>
          </w:tcPr>
          <w:p w14:paraId="597E7D2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493B55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1A03CE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B4CEDD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14C2F7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  <w:shd w:val="clear" w:color="auto" w:fill="F4F6F9"/>
          </w:tcPr>
          <w:p w14:paraId="42C6899B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599C5D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746B9D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F5461E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33D550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  <w:shd w:val="clear" w:color="auto" w:fill="F4F6F9"/>
          </w:tcPr>
          <w:p w14:paraId="02F3D386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F06775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61C751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CC5885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10D45C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  <w:shd w:val="clear" w:color="auto" w:fill="F4F6F9"/>
          </w:tcPr>
          <w:p w14:paraId="153AD60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0D30E81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8447A4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613809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538B3F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60" w:type="dxa"/>
            <w:shd w:val="clear" w:color="auto" w:fill="F4F6F9"/>
          </w:tcPr>
          <w:p w14:paraId="3B5CCA6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1CE53D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37371A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EDC6BB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91C0C1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27FA4EA0" w14:textId="77777777">
        <w:tc>
          <w:tcPr>
            <w:tcW w:w="1400" w:type="dxa"/>
          </w:tcPr>
          <w:p w14:paraId="3E2C04A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9BC1D1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00B4D6B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49D2E4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D0420F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0" w:type="dxa"/>
          </w:tcPr>
          <w:p w14:paraId="7270C521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B478A0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3287C4C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D93E43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DA73CD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23D4FD29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D00E29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660091E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EE9C10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89F044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</w:tcPr>
          <w:p w14:paraId="777416B8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B98858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65469F0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14F780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0BB9B8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78494EDE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F63A4E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1CB99D9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7E0614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5FFF6E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60" w:type="dxa"/>
          </w:tcPr>
          <w:p w14:paraId="17B07C5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89E45A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lastRenderedPageBreak/>
              <w:t xml:space="preserve"> </w:t>
            </w:r>
          </w:p>
          <w:p w14:paraId="1AE31F2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62E6B2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DD10D5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642BC46B" w14:textId="77777777">
        <w:tc>
          <w:tcPr>
            <w:tcW w:w="1400" w:type="dxa"/>
            <w:shd w:val="clear" w:color="auto" w:fill="F4F6F9"/>
          </w:tcPr>
          <w:p w14:paraId="48A71F8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4E722C6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D1D5C0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A5F793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BBB020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0" w:type="dxa"/>
            <w:shd w:val="clear" w:color="auto" w:fill="F4F6F9"/>
          </w:tcPr>
          <w:p w14:paraId="504ADEAD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34D7BF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E99D33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E4934C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979C46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  <w:shd w:val="clear" w:color="auto" w:fill="F4F6F9"/>
          </w:tcPr>
          <w:p w14:paraId="0F7079A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68F824D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2AAC4F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C52342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8A7BDD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  <w:shd w:val="clear" w:color="auto" w:fill="F4F6F9"/>
          </w:tcPr>
          <w:p w14:paraId="162BD79A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2AFADC4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4E1658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60024A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E8A572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  <w:shd w:val="clear" w:color="auto" w:fill="F4F6F9"/>
          </w:tcPr>
          <w:p w14:paraId="2C3E807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4D3DE8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F0DA85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9FF87F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B0EF1E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60" w:type="dxa"/>
            <w:shd w:val="clear" w:color="auto" w:fill="F4F6F9"/>
          </w:tcPr>
          <w:p w14:paraId="37632474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17A419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A333AA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A5F3D1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2B77C6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  <w:tr w:rsidR="00826849" w:rsidRPr="0006202A" w14:paraId="23999A9D" w14:textId="77777777">
        <w:tc>
          <w:tcPr>
            <w:tcW w:w="1400" w:type="dxa"/>
          </w:tcPr>
          <w:p w14:paraId="7E1B30A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425A90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3D2DDF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B99436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1BB08D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0" w:type="dxa"/>
          </w:tcPr>
          <w:p w14:paraId="6F4E7B0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0D225A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8FBC31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D7875D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14D983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50" w:type="dxa"/>
          </w:tcPr>
          <w:p w14:paraId="28D45689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5088B3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3D2188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E03884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88EC23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0" w:type="dxa"/>
          </w:tcPr>
          <w:p w14:paraId="57BE6078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3D87D24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E9AE33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70B33E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3D41CD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50" w:type="dxa"/>
          </w:tcPr>
          <w:p w14:paraId="3B62FC62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5F790FB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25DEB8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8225FE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9C61F6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60" w:type="dxa"/>
          </w:tcPr>
          <w:p w14:paraId="50AF56E8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71A5EDB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59DE48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555789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B003FB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56CD3CEB" w14:textId="77777777" w:rsidR="00826849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Intersectional synthesis</w:t>
      </w:r>
    </w:p>
    <w:p w14:paraId="1AA6F2F1" w14:textId="77777777" w:rsidR="00826849" w:rsidRPr="0006202A" w:rsidRDefault="00000000">
      <w:pPr>
        <w:rPr>
          <w:rFonts w:ascii="Arial" w:hAnsi="Arial" w:cs="Arial"/>
        </w:rPr>
      </w:pPr>
      <w:r w:rsidRPr="0006202A">
        <w:rPr>
          <w:rFonts w:ascii="Arial" w:hAnsi="Arial" w:cs="Arial"/>
        </w:rPr>
        <w:t>In one paragraph, explain how the intersections create a more complete understanding of the patient’s oral-health presentation and experience of care. Do not propose a management solution.</w:t>
      </w:r>
    </w:p>
    <w:p w14:paraId="11C2CCCA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write the intersectional synthesis</w:t>
      </w:r>
    </w:p>
    <w:p w14:paraId="79370E90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Structure: </w:t>
      </w:r>
      <w:r w:rsidRPr="0006202A">
        <w:rPr>
          <w:rFonts w:ascii="Arial" w:hAnsi="Arial" w:cs="Arial"/>
        </w:rPr>
        <w:t>Identify the two or three most important intersections, explain their combined effect on oral health or care, include power and protective factors, and finish with uncertainties.</w:t>
      </w:r>
    </w:p>
    <w:p w14:paraId="50369875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Length: </w:t>
      </w:r>
      <w:r w:rsidRPr="0006202A">
        <w:rPr>
          <w:rFonts w:ascii="Arial" w:hAnsi="Arial" w:cs="Arial"/>
        </w:rPr>
        <w:t>Aim for one focused paragraph. Synthesize rather than repeating every matrix row.</w:t>
      </w:r>
    </w:p>
    <w:p w14:paraId="59839AF1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Do not write a list of identities or imply that identity automatically causes disease.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26849" w:rsidRPr="0006202A" w14:paraId="44FCC8DA" w14:textId="77777777">
        <w:trPr>
          <w:tblHeader/>
        </w:trPr>
        <w:tc>
          <w:tcPr>
            <w:tcW w:w="9360" w:type="dxa"/>
          </w:tcPr>
          <w:p w14:paraId="28DBF29C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8F7031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73E80F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3E5737F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48C8FB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F729C1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ADA660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788442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1AB558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30B21E80" w14:textId="77777777" w:rsidR="00826849" w:rsidRPr="0006202A" w:rsidRDefault="00000000">
      <w:pPr>
        <w:rPr>
          <w:rFonts w:ascii="Arial" w:hAnsi="Arial" w:cs="Arial"/>
        </w:rPr>
      </w:pPr>
      <w:r w:rsidRPr="0006202A">
        <w:rPr>
          <w:rFonts w:ascii="Arial" w:hAnsi="Arial" w:cs="Arial"/>
        </w:rPr>
        <w:br w:type="page"/>
      </w:r>
    </w:p>
    <w:p w14:paraId="3C48DD08" w14:textId="77777777" w:rsidR="00826849" w:rsidRPr="0006202A" w:rsidRDefault="00000000">
      <w:pPr>
        <w:pStyle w:val="Heading1"/>
        <w:rPr>
          <w:rFonts w:ascii="Arial" w:hAnsi="Arial" w:cs="Arial"/>
        </w:rPr>
      </w:pPr>
      <w:r w:rsidRPr="0006202A">
        <w:rPr>
          <w:rFonts w:ascii="Arial" w:hAnsi="Arial" w:cs="Arial"/>
        </w:rPr>
        <w:lastRenderedPageBreak/>
        <w:t>Part 7. Population-informed clinical case summary</w:t>
      </w:r>
    </w:p>
    <w:tbl>
      <w:tblPr>
        <w:tblW w:w="9360" w:type="dxa"/>
        <w:tblInd w:w="120" w:type="dxa"/>
        <w:tblBorders>
          <w:top w:val="single" w:sz="0" w:space="0" w:color="EAF2F8"/>
          <w:left w:val="single" w:sz="0" w:space="0" w:color="EAF2F8"/>
          <w:bottom w:val="single" w:sz="0" w:space="0" w:color="EAF2F8"/>
          <w:right w:val="single" w:sz="0" w:space="0" w:color="EAF2F8"/>
          <w:insideH w:val="single" w:sz="0" w:space="0" w:color="EAF2F8"/>
          <w:insideV w:val="single" w:sz="0" w:space="0" w:color="EAF2F8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26849" w:rsidRPr="0006202A" w14:paraId="076D5D71" w14:textId="77777777">
        <w:trPr>
          <w:tblHeader/>
        </w:trPr>
        <w:tc>
          <w:tcPr>
            <w:tcW w:w="9360" w:type="dxa"/>
            <w:shd w:val="clear" w:color="auto" w:fill="EAF2F8"/>
          </w:tcPr>
          <w:p w14:paraId="52544F27" w14:textId="77777777" w:rsidR="00826849" w:rsidRPr="0006202A" w:rsidRDefault="00000000">
            <w:pPr>
              <w:spacing w:after="0"/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  <w:b/>
                <w:color w:val="17365D"/>
                <w:sz w:val="18"/>
              </w:rPr>
              <w:t xml:space="preserve">PICCS writing </w:t>
            </w:r>
            <w:proofErr w:type="gramStart"/>
            <w:r w:rsidRPr="0006202A">
              <w:rPr>
                <w:rFonts w:ascii="Arial" w:hAnsi="Arial" w:cs="Arial"/>
                <w:b/>
                <w:color w:val="17365D"/>
                <w:sz w:val="18"/>
              </w:rPr>
              <w:t>structure  Clinical</w:t>
            </w:r>
            <w:proofErr w:type="gramEnd"/>
            <w:r w:rsidRPr="0006202A">
              <w:rPr>
                <w:rFonts w:ascii="Arial" w:hAnsi="Arial" w:cs="Arial"/>
                <w:b/>
                <w:color w:val="17365D"/>
                <w:sz w:val="18"/>
              </w:rPr>
              <w:t xml:space="preserve"> presentation + medical and functional context + patient priorities and agency + relevant determinant pathways + intersectional and power analysis + protective factors + uncertainties. Describe what explains the case; do not write a treatment plan.</w:t>
            </w:r>
          </w:p>
        </w:tc>
      </w:tr>
    </w:tbl>
    <w:p w14:paraId="09A67C77" w14:textId="77777777" w:rsidR="00826849" w:rsidRPr="0006202A" w:rsidRDefault="00826849">
      <w:pPr>
        <w:spacing w:after="20"/>
        <w:rPr>
          <w:rFonts w:ascii="Arial" w:hAnsi="Arial" w:cs="Arial"/>
        </w:rPr>
      </w:pPr>
    </w:p>
    <w:p w14:paraId="53018E7C" w14:textId="77777777" w:rsidR="00826849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PICCS draft</w:t>
      </w:r>
    </w:p>
    <w:p w14:paraId="7DC42028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write the final PICCS</w:t>
      </w:r>
    </w:p>
    <w:p w14:paraId="68129B0F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Opening: </w:t>
      </w:r>
      <w:r w:rsidRPr="0006202A">
        <w:rPr>
          <w:rFonts w:ascii="Arial" w:hAnsi="Arial" w:cs="Arial"/>
        </w:rPr>
        <w:t>Briefly state the patient, presenting problem, key findings and diagnosis.</w:t>
      </w:r>
    </w:p>
    <w:p w14:paraId="2CD38A75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Clinical and medical context: </w:t>
      </w:r>
      <w:r w:rsidRPr="0006202A">
        <w:rPr>
          <w:rFonts w:ascii="Arial" w:hAnsi="Arial" w:cs="Arial"/>
        </w:rPr>
        <w:t>Include only medical/functional factors that materially affect oral health or care.</w:t>
      </w:r>
    </w:p>
    <w:p w14:paraId="4A737595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Patient perspective: </w:t>
      </w:r>
      <w:r w:rsidRPr="0006202A">
        <w:rPr>
          <w:rFonts w:ascii="Arial" w:hAnsi="Arial" w:cs="Arial"/>
        </w:rPr>
        <w:t>State priorities, preferences, concerns and agency in respectful language.</w:t>
      </w:r>
    </w:p>
    <w:p w14:paraId="4A72AF1E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Explanatory pathways: </w:t>
      </w:r>
      <w:r w:rsidRPr="0006202A">
        <w:rPr>
          <w:rFonts w:ascii="Arial" w:hAnsi="Arial" w:cs="Arial"/>
        </w:rPr>
        <w:t>Integrate the most important determinant mechanisms and intersectional influences; do not reproduce every table.</w:t>
      </w:r>
    </w:p>
    <w:p w14:paraId="2CB4F182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Power and protection: </w:t>
      </w:r>
      <w:r w:rsidRPr="0006202A">
        <w:rPr>
          <w:rFonts w:ascii="Arial" w:hAnsi="Arial" w:cs="Arial"/>
        </w:rPr>
        <w:t>Show relevant service/system effects and protective resources.</w:t>
      </w:r>
    </w:p>
    <w:p w14:paraId="34A1D960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Uncertainty: </w:t>
      </w:r>
      <w:r w:rsidRPr="0006202A">
        <w:rPr>
          <w:rFonts w:ascii="Arial" w:hAnsi="Arial" w:cs="Arial"/>
        </w:rPr>
        <w:t>Identify missing evidence and avoid unsupported diagnoses or causal claims.</w:t>
      </w:r>
    </w:p>
    <w:p w14:paraId="401D06DA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Treatment-plan boundary: </w:t>
      </w:r>
      <w:r w:rsidRPr="0006202A">
        <w:rPr>
          <w:rFonts w:ascii="Arial" w:hAnsi="Arial" w:cs="Arial"/>
        </w:rPr>
        <w:t>The initial plan is recorded in Part 1. The PICCS should explain the context that may influence feasibility, acceptability and outcomes rather than provide a model answer.</w:t>
      </w:r>
    </w:p>
    <w:p w14:paraId="349C9DE8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A PICCS is not a longer social history. It is a concise explanation of how clinical and population factors interact in this patient.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26849" w:rsidRPr="0006202A" w14:paraId="3DDB95FF" w14:textId="77777777">
        <w:trPr>
          <w:tblHeader/>
        </w:trPr>
        <w:tc>
          <w:tcPr>
            <w:tcW w:w="9360" w:type="dxa"/>
          </w:tcPr>
          <w:p w14:paraId="77629669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C311EC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37669A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0C0B9D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CA7069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EB578C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2E6FF3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2D9150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D079A28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7B1E5B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EC6B7F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88D06D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54CBDE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C1DFF31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5D3BE1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730302E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EB5148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3E235C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835AA8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2C161DD9" w14:textId="77777777" w:rsidR="00826849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Quality check</w:t>
      </w:r>
    </w:p>
    <w:p w14:paraId="6783C8E0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t>[ ]</w:t>
      </w:r>
      <w:proofErr w:type="gramEnd"/>
      <w:r w:rsidRPr="0006202A">
        <w:rPr>
          <w:rFonts w:ascii="Arial" w:hAnsi="Arial" w:cs="Arial"/>
        </w:rPr>
        <w:t xml:space="preserve"> Uses person-first, neutral and non-</w:t>
      </w:r>
      <w:proofErr w:type="spellStart"/>
      <w:r w:rsidRPr="0006202A">
        <w:rPr>
          <w:rFonts w:ascii="Arial" w:hAnsi="Arial" w:cs="Arial"/>
        </w:rPr>
        <w:t>stigmatising</w:t>
      </w:r>
      <w:proofErr w:type="spellEnd"/>
      <w:r w:rsidRPr="0006202A">
        <w:rPr>
          <w:rFonts w:ascii="Arial" w:hAnsi="Arial" w:cs="Arial"/>
        </w:rPr>
        <w:t xml:space="preserve"> language.</w:t>
      </w:r>
    </w:p>
    <w:p w14:paraId="45BE184F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t>[ ]</w:t>
      </w:r>
      <w:proofErr w:type="gramEnd"/>
      <w:r w:rsidRPr="0006202A">
        <w:rPr>
          <w:rFonts w:ascii="Arial" w:hAnsi="Arial" w:cs="Arial"/>
        </w:rPr>
        <w:t xml:space="preserve"> Separates facts, patient reports, interpretations and unknowns.</w:t>
      </w:r>
    </w:p>
    <w:p w14:paraId="28B76DDC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lastRenderedPageBreak/>
        <w:t>[ ]</w:t>
      </w:r>
      <w:proofErr w:type="gramEnd"/>
      <w:r w:rsidRPr="0006202A">
        <w:rPr>
          <w:rFonts w:ascii="Arial" w:hAnsi="Arial" w:cs="Arial"/>
        </w:rPr>
        <w:t xml:space="preserve"> Connects determinants through mechanisms rather than listing them.</w:t>
      </w:r>
    </w:p>
    <w:p w14:paraId="1FFE5EA0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t>[ ]</w:t>
      </w:r>
      <w:proofErr w:type="gramEnd"/>
      <w:r w:rsidRPr="0006202A">
        <w:rPr>
          <w:rFonts w:ascii="Arial" w:hAnsi="Arial" w:cs="Arial"/>
        </w:rPr>
        <w:t xml:space="preserve"> Includes medical-social interactions and functional effects.</w:t>
      </w:r>
    </w:p>
    <w:p w14:paraId="7C80E176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t>[ ]</w:t>
      </w:r>
      <w:proofErr w:type="gramEnd"/>
      <w:r w:rsidRPr="0006202A">
        <w:rPr>
          <w:rFonts w:ascii="Arial" w:hAnsi="Arial" w:cs="Arial"/>
        </w:rPr>
        <w:t xml:space="preserve"> Includes patient agency, assets and protective factors.</w:t>
      </w:r>
    </w:p>
    <w:p w14:paraId="775654B0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t>[ ]</w:t>
      </w:r>
      <w:proofErr w:type="gramEnd"/>
      <w:r w:rsidRPr="0006202A">
        <w:rPr>
          <w:rFonts w:ascii="Arial" w:hAnsi="Arial" w:cs="Arial"/>
        </w:rPr>
        <w:t xml:space="preserve"> Examines clinical and institutional power, not only patient </w:t>
      </w:r>
      <w:proofErr w:type="spellStart"/>
      <w:r w:rsidRPr="0006202A">
        <w:rPr>
          <w:rFonts w:ascii="Arial" w:hAnsi="Arial" w:cs="Arial"/>
        </w:rPr>
        <w:t>behaviour</w:t>
      </w:r>
      <w:proofErr w:type="spellEnd"/>
      <w:r w:rsidRPr="0006202A">
        <w:rPr>
          <w:rFonts w:ascii="Arial" w:hAnsi="Arial" w:cs="Arial"/>
        </w:rPr>
        <w:t>.</w:t>
      </w:r>
    </w:p>
    <w:p w14:paraId="45FBE8A3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t>[ ]</w:t>
      </w:r>
      <w:proofErr w:type="gramEnd"/>
      <w:r w:rsidRPr="0006202A">
        <w:rPr>
          <w:rFonts w:ascii="Arial" w:hAnsi="Arial" w:cs="Arial"/>
        </w:rPr>
        <w:t xml:space="preserve"> Avoids assigning unsupported medical, psychological, grief or trauma-related diagnoses.</w:t>
      </w:r>
    </w:p>
    <w:p w14:paraId="6C188310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t>[ ]</w:t>
      </w:r>
      <w:proofErr w:type="gramEnd"/>
      <w:r w:rsidRPr="0006202A">
        <w:rPr>
          <w:rFonts w:ascii="Arial" w:hAnsi="Arial" w:cs="Arial"/>
        </w:rPr>
        <w:t xml:space="preserve"> Respects informed refusal, autonomy, privacy and patient-defined priorities.</w:t>
      </w:r>
    </w:p>
    <w:p w14:paraId="0368F274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t>[ ]</w:t>
      </w:r>
      <w:proofErr w:type="gramEnd"/>
      <w:r w:rsidRPr="0006202A">
        <w:rPr>
          <w:rFonts w:ascii="Arial" w:hAnsi="Arial" w:cs="Arial"/>
        </w:rPr>
        <w:t xml:space="preserve"> Clearly distinguishes the initial treatment plan in the Case Overview from the later population-informed explanation.</w:t>
      </w:r>
    </w:p>
    <w:p w14:paraId="6C2A0682" w14:textId="77777777" w:rsidR="00826849" w:rsidRPr="0006202A" w:rsidRDefault="00000000">
      <w:pPr>
        <w:rPr>
          <w:rFonts w:ascii="Arial" w:hAnsi="Arial" w:cs="Arial"/>
        </w:rPr>
      </w:pPr>
      <w:proofErr w:type="gramStart"/>
      <w:r w:rsidRPr="0006202A">
        <w:rPr>
          <w:rFonts w:ascii="Arial" w:hAnsi="Arial" w:cs="Arial"/>
        </w:rPr>
        <w:t>[ ]</w:t>
      </w:r>
      <w:proofErr w:type="gramEnd"/>
      <w:r w:rsidRPr="0006202A">
        <w:rPr>
          <w:rFonts w:ascii="Arial" w:hAnsi="Arial" w:cs="Arial"/>
        </w:rPr>
        <w:t xml:space="preserve"> Contains no management solution in this exercise.</w:t>
      </w:r>
    </w:p>
    <w:p w14:paraId="2348962D" w14:textId="77777777" w:rsidR="00826849" w:rsidRPr="0006202A" w:rsidRDefault="00000000">
      <w:pPr>
        <w:rPr>
          <w:rFonts w:ascii="Arial" w:hAnsi="Arial" w:cs="Arial"/>
        </w:rPr>
      </w:pPr>
      <w:r w:rsidRPr="0006202A">
        <w:rPr>
          <w:rFonts w:ascii="Arial" w:hAnsi="Arial" w:cs="Arial"/>
        </w:rPr>
        <w:br w:type="page"/>
      </w:r>
    </w:p>
    <w:p w14:paraId="32B5F405" w14:textId="77777777" w:rsidR="00826849" w:rsidRPr="0006202A" w:rsidRDefault="00000000">
      <w:pPr>
        <w:pStyle w:val="Heading1"/>
        <w:rPr>
          <w:rFonts w:ascii="Arial" w:hAnsi="Arial" w:cs="Arial"/>
        </w:rPr>
      </w:pPr>
      <w:r w:rsidRPr="0006202A">
        <w:rPr>
          <w:rFonts w:ascii="Arial" w:hAnsi="Arial" w:cs="Arial"/>
        </w:rPr>
        <w:lastRenderedPageBreak/>
        <w:t>Part 8. End reflection</w:t>
      </w:r>
    </w:p>
    <w:p w14:paraId="095F3C16" w14:textId="77777777" w:rsidR="00826849" w:rsidRPr="0006202A" w:rsidRDefault="00000000">
      <w:pPr>
        <w:spacing w:after="140"/>
        <w:rPr>
          <w:rFonts w:ascii="Arial" w:hAnsi="Arial" w:cs="Arial"/>
        </w:rPr>
      </w:pPr>
      <w:r w:rsidRPr="0006202A">
        <w:rPr>
          <w:rFonts w:ascii="Arial" w:hAnsi="Arial" w:cs="Arial"/>
        </w:rPr>
        <w:t>What was your initial biomedical interpretation of the patient, and what did it fail to explain?</w:t>
      </w:r>
    </w:p>
    <w:p w14:paraId="2590CA6C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How did the medical-social and determinant analyses change your understanding of the case?</w:t>
      </w:r>
    </w:p>
    <w:p w14:paraId="3EB24E14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Which assumptions did you notice in your own thinking, language or clinical reasoning?</w:t>
      </w:r>
    </w:p>
    <w:p w14:paraId="596A1B9F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Could terms such as “non-compliant,” “difficult” or “unmotivated” distort this case? Explain how.</w:t>
      </w:r>
    </w:p>
    <w:p w14:paraId="56B2921B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Where is power located in this clinical encounter, and how might usual service routines influence the patient’s experience?</w:t>
      </w:r>
    </w:p>
    <w:p w14:paraId="1B9BEC81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How did you distinguish patient autonomy and informed refusal from distress, barriers or unmet support needs?</w:t>
      </w:r>
    </w:p>
    <w:p w14:paraId="47CCCA68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Which identities, experiences or systems did you initially consider separately but later understand as intersecting?</w:t>
      </w:r>
    </w:p>
    <w:p w14:paraId="167DE4CE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What important information is missing, and how could it be sought respectfully, privately and with permission?</w:t>
      </w:r>
    </w:p>
    <w:p w14:paraId="76BF7153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Which patient strengths, preferences, relationships or protective resources became visible through PICCS?</w:t>
      </w:r>
    </w:p>
    <w:p w14:paraId="296B69BA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What does this case teach you about the difference between equality, equity, patient-</w:t>
      </w:r>
      <w:proofErr w:type="spellStart"/>
      <w:r w:rsidRPr="0006202A">
        <w:rPr>
          <w:rFonts w:ascii="Arial" w:hAnsi="Arial" w:cs="Arial"/>
        </w:rPr>
        <w:t>centred</w:t>
      </w:r>
      <w:proofErr w:type="spellEnd"/>
      <w:r w:rsidRPr="0006202A">
        <w:rPr>
          <w:rFonts w:ascii="Arial" w:hAnsi="Arial" w:cs="Arial"/>
        </w:rPr>
        <w:t xml:space="preserve"> care and population-informed care?</w:t>
      </w:r>
    </w:p>
    <w:p w14:paraId="18C3BFB1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How will this exercise influence the language, evidence and reasoning you use when presenting future clinical cases?</w:t>
      </w:r>
    </w:p>
    <w:p w14:paraId="289DA8D7" w14:textId="77777777" w:rsidR="00826849" w:rsidRPr="0006202A" w:rsidRDefault="00000000">
      <w:pPr>
        <w:pStyle w:val="ListBullet"/>
        <w:rPr>
          <w:rFonts w:ascii="Arial" w:hAnsi="Arial" w:cs="Arial"/>
        </w:rPr>
      </w:pPr>
      <w:r w:rsidRPr="0006202A">
        <w:rPr>
          <w:rFonts w:ascii="Arial" w:hAnsi="Arial" w:cs="Arial"/>
        </w:rPr>
        <w:t>How will this exercise influence the language and reasoning you use when presenting future clinical cases?</w:t>
      </w:r>
    </w:p>
    <w:p w14:paraId="43631B25" w14:textId="77777777" w:rsidR="00826849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Reflection response</w:t>
      </w:r>
    </w:p>
    <w:p w14:paraId="4C152884" w14:textId="77777777" w:rsidR="00FE7D40" w:rsidRPr="0006202A" w:rsidRDefault="00000000">
      <w:pPr>
        <w:pStyle w:val="Heading2"/>
        <w:rPr>
          <w:rFonts w:ascii="Arial" w:hAnsi="Arial" w:cs="Arial"/>
        </w:rPr>
      </w:pPr>
      <w:r w:rsidRPr="0006202A">
        <w:rPr>
          <w:rFonts w:ascii="Arial" w:hAnsi="Arial" w:cs="Arial"/>
        </w:rPr>
        <w:t>How to write the end reflection</w:t>
      </w:r>
    </w:p>
    <w:p w14:paraId="62C03421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Describe: </w:t>
      </w:r>
      <w:r w:rsidRPr="0006202A">
        <w:rPr>
          <w:rFonts w:ascii="Arial" w:hAnsi="Arial" w:cs="Arial"/>
        </w:rPr>
        <w:t>Identify your initial interpretation, language or assumptions.</w:t>
      </w:r>
    </w:p>
    <w:p w14:paraId="029CD093" w14:textId="77777777" w:rsidR="00FE7D40" w:rsidRPr="0006202A" w:rsidRDefault="00000000">
      <w:pPr>
        <w:spacing w:after="80"/>
        <w:rPr>
          <w:rFonts w:ascii="Arial" w:hAnsi="Arial" w:cs="Arial"/>
        </w:rPr>
      </w:pPr>
      <w:proofErr w:type="spellStart"/>
      <w:r w:rsidRPr="0006202A">
        <w:rPr>
          <w:rFonts w:ascii="Arial" w:hAnsi="Arial" w:cs="Arial"/>
          <w:b/>
          <w:color w:val="17365D"/>
        </w:rPr>
        <w:t>Analyse</w:t>
      </w:r>
      <w:proofErr w:type="spellEnd"/>
      <w:r w:rsidRPr="0006202A">
        <w:rPr>
          <w:rFonts w:ascii="Arial" w:hAnsi="Arial" w:cs="Arial"/>
          <w:b/>
          <w:color w:val="17365D"/>
        </w:rPr>
        <w:t xml:space="preserve">: </w:t>
      </w:r>
      <w:r w:rsidRPr="0006202A">
        <w:rPr>
          <w:rFonts w:ascii="Arial" w:hAnsi="Arial" w:cs="Arial"/>
        </w:rPr>
        <w:t>Explain what the PICCS, scoring and intersectionality work revealed and why your understanding changed or did not change.</w:t>
      </w:r>
    </w:p>
    <w:p w14:paraId="54FA512C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Learn: </w:t>
      </w:r>
      <w:r w:rsidRPr="0006202A">
        <w:rPr>
          <w:rFonts w:ascii="Arial" w:hAnsi="Arial" w:cs="Arial"/>
        </w:rPr>
        <w:t>State what you learned about evidence, uncertainty, power, equity, agency and patient-</w:t>
      </w:r>
      <w:proofErr w:type="spellStart"/>
      <w:r w:rsidRPr="0006202A">
        <w:rPr>
          <w:rFonts w:ascii="Arial" w:hAnsi="Arial" w:cs="Arial"/>
        </w:rPr>
        <w:t>centred</w:t>
      </w:r>
      <w:proofErr w:type="spellEnd"/>
      <w:r w:rsidRPr="0006202A">
        <w:rPr>
          <w:rFonts w:ascii="Arial" w:hAnsi="Arial" w:cs="Arial"/>
        </w:rPr>
        <w:t xml:space="preserve"> care.</w:t>
      </w:r>
    </w:p>
    <w:p w14:paraId="2208E08D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Apply: </w:t>
      </w:r>
      <w:r w:rsidRPr="0006202A">
        <w:rPr>
          <w:rFonts w:ascii="Arial" w:hAnsi="Arial" w:cs="Arial"/>
        </w:rPr>
        <w:t>Explain one or two specific changes you will make in future history-taking, documentation, case presentation or clinical communication.</w:t>
      </w:r>
    </w:p>
    <w:p w14:paraId="499B4A5A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Voice: </w:t>
      </w:r>
      <w:r w:rsidRPr="0006202A">
        <w:rPr>
          <w:rFonts w:ascii="Arial" w:hAnsi="Arial" w:cs="Arial"/>
        </w:rPr>
        <w:t xml:space="preserve">Write </w:t>
      </w:r>
      <w:proofErr w:type="gramStart"/>
      <w:r w:rsidRPr="0006202A">
        <w:rPr>
          <w:rFonts w:ascii="Arial" w:hAnsi="Arial" w:cs="Arial"/>
        </w:rPr>
        <w:t>in</w:t>
      </w:r>
      <w:proofErr w:type="gramEnd"/>
      <w:r w:rsidRPr="0006202A">
        <w:rPr>
          <w:rFonts w:ascii="Arial" w:hAnsi="Arial" w:cs="Arial"/>
        </w:rPr>
        <w:t xml:space="preserve"> the first person and focus on your reasoning. Refer to the case only as evidence for the reflection.</w:t>
      </w:r>
    </w:p>
    <w:p w14:paraId="65804352" w14:textId="77777777" w:rsidR="00FE7D40" w:rsidRPr="0006202A" w:rsidRDefault="00000000">
      <w:pPr>
        <w:spacing w:after="80"/>
        <w:rPr>
          <w:rFonts w:ascii="Arial" w:hAnsi="Arial" w:cs="Arial"/>
        </w:rPr>
      </w:pPr>
      <w:r w:rsidRPr="0006202A">
        <w:rPr>
          <w:rFonts w:ascii="Arial" w:hAnsi="Arial" w:cs="Arial"/>
          <w:b/>
          <w:color w:val="17365D"/>
        </w:rPr>
        <w:t xml:space="preserve">Common mistake: </w:t>
      </w:r>
      <w:r w:rsidRPr="0006202A">
        <w:rPr>
          <w:rFonts w:ascii="Arial" w:hAnsi="Arial" w:cs="Arial"/>
        </w:rPr>
        <w:t>Do not simply retell the case or claim that you had no assumptions; demonstrate critical self-awareness and a practical learning commitment.</w:t>
      </w:r>
    </w:p>
    <w:tbl>
      <w:tblPr>
        <w:tblW w:w="9360" w:type="dxa"/>
        <w:tblInd w:w="120" w:type="dxa"/>
        <w:tblBorders>
          <w:top w:val="single" w:sz="5" w:space="0" w:color="CDD4DC"/>
          <w:left w:val="single" w:sz="5" w:space="0" w:color="CDD4DC"/>
          <w:bottom w:val="single" w:sz="5" w:space="0" w:color="CDD4DC"/>
          <w:right w:val="single" w:sz="5" w:space="0" w:color="CDD4DC"/>
          <w:insideH w:val="single" w:sz="5" w:space="0" w:color="CDD4DC"/>
          <w:insideV w:val="single" w:sz="5" w:space="0" w:color="CDD4DC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26849" w:rsidRPr="0006202A" w14:paraId="7C3EC949" w14:textId="77777777">
        <w:trPr>
          <w:tblHeader/>
        </w:trPr>
        <w:tc>
          <w:tcPr>
            <w:tcW w:w="9360" w:type="dxa"/>
          </w:tcPr>
          <w:p w14:paraId="04A39ED3" w14:textId="77777777" w:rsidR="00826849" w:rsidRPr="0006202A" w:rsidRDefault="00826849">
            <w:pPr>
              <w:rPr>
                <w:rFonts w:ascii="Arial" w:hAnsi="Arial" w:cs="Arial"/>
              </w:rPr>
            </w:pPr>
          </w:p>
          <w:p w14:paraId="1410A5B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DB17B7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CDABAA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E388A5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A20F40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D3E1C6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2D3E12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570565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1AC95DA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4FDB505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4165F1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194A4913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51E22A67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6C819CB6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365F68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39AEFE4B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95E630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508FC74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44C98E8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36CFD0D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7349DD0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0896EFFC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21814B99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  <w:p w14:paraId="783DF722" w14:textId="77777777" w:rsidR="00826849" w:rsidRPr="0006202A" w:rsidRDefault="00000000">
            <w:pPr>
              <w:rPr>
                <w:rFonts w:ascii="Arial" w:hAnsi="Arial" w:cs="Arial"/>
              </w:rPr>
            </w:pPr>
            <w:r w:rsidRPr="0006202A">
              <w:rPr>
                <w:rFonts w:ascii="Arial" w:hAnsi="Arial" w:cs="Arial"/>
              </w:rPr>
              <w:t xml:space="preserve"> </w:t>
            </w:r>
          </w:p>
        </w:tc>
      </w:tr>
    </w:tbl>
    <w:p w14:paraId="0FBCF221" w14:textId="77777777" w:rsidR="00465D09" w:rsidRPr="0006202A" w:rsidRDefault="00465D09">
      <w:pPr>
        <w:rPr>
          <w:rFonts w:ascii="Arial" w:hAnsi="Arial" w:cs="Arial"/>
        </w:rPr>
      </w:pPr>
    </w:p>
    <w:sectPr w:rsidR="00465D09" w:rsidRPr="0006202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79" w:right="1152" w:bottom="950" w:left="1152" w:header="490" w:footer="4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AE8A8" w14:textId="77777777" w:rsidR="00637867" w:rsidRDefault="00637867">
      <w:pPr>
        <w:spacing w:after="0" w:line="240" w:lineRule="auto"/>
      </w:pPr>
      <w:r>
        <w:separator/>
      </w:r>
    </w:p>
  </w:endnote>
  <w:endnote w:type="continuationSeparator" w:id="0">
    <w:p w14:paraId="35F4A148" w14:textId="77777777" w:rsidR="00637867" w:rsidRDefault="0063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2B69" w14:textId="77777777" w:rsidR="0006202A" w:rsidRDefault="000620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F881" w14:textId="77777777" w:rsidR="00826849" w:rsidRDefault="00000000">
    <w:pPr>
      <w:pStyle w:val="Footer"/>
      <w:jc w:val="right"/>
    </w:pPr>
    <w:r>
      <w:rPr>
        <w:color w:val="5B6573"/>
        <w:sz w:val="16"/>
      </w:rPr>
      <w:t>Comprehensive PICCS student workbook | No model answers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E0D4" w14:textId="77777777" w:rsidR="0006202A" w:rsidRDefault="000620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8294E" w14:textId="77777777" w:rsidR="00637867" w:rsidRDefault="00637867">
      <w:pPr>
        <w:spacing w:after="0" w:line="240" w:lineRule="auto"/>
      </w:pPr>
      <w:r>
        <w:separator/>
      </w:r>
    </w:p>
  </w:footnote>
  <w:footnote w:type="continuationSeparator" w:id="0">
    <w:p w14:paraId="27617E8D" w14:textId="77777777" w:rsidR="00637867" w:rsidRDefault="00637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5BFF" w14:textId="2884BCC7" w:rsidR="0006202A" w:rsidRDefault="0006202A">
    <w:pPr>
      <w:pStyle w:val="Header"/>
    </w:pPr>
    <w:r>
      <w:rPr>
        <w:noProof/>
      </w:rPr>
      <w:pict w14:anchorId="43B241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3558032" o:spid="_x0000_s1026" type="#_x0000_t136" style="position:absolute;margin-left:0;margin-top:0;width:612.85pt;height:87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or Learning purposes onl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5ED4" w14:textId="20074410" w:rsidR="00826849" w:rsidRDefault="0006202A">
    <w:pPr>
      <w:pStyle w:val="Header"/>
      <w:jc w:val="right"/>
    </w:pPr>
    <w:r>
      <w:rPr>
        <w:noProof/>
      </w:rPr>
      <w:pict w14:anchorId="4603EF7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3558033" o:spid="_x0000_s1027" type="#_x0000_t136" style="position:absolute;left:0;text-align:left;margin-left:0;margin-top:0;width:612.85pt;height:87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or Learning purposes only"/>
        </v:shape>
      </w:pict>
    </w:r>
    <w:r w:rsidR="00000000">
      <w:rPr>
        <w:b/>
        <w:color w:val="5B6573"/>
        <w:sz w:val="16"/>
      </w:rPr>
      <w:t>DMD3 | POPULATION-INFORMED CLINICAL CASE SUMMARY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EF7BE" w14:textId="512601BE" w:rsidR="0006202A" w:rsidRDefault="0006202A">
    <w:pPr>
      <w:pStyle w:val="Header"/>
    </w:pPr>
    <w:r>
      <w:rPr>
        <w:noProof/>
      </w:rPr>
      <w:pict w14:anchorId="621B6C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3558031" o:spid="_x0000_s1025" type="#_x0000_t136" style="position:absolute;margin-left:0;margin-top:0;width:612.85pt;height:87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or Learning purposes only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2802341">
    <w:abstractNumId w:val="8"/>
  </w:num>
  <w:num w:numId="2" w16cid:durableId="1808232596">
    <w:abstractNumId w:val="6"/>
  </w:num>
  <w:num w:numId="3" w16cid:durableId="210195950">
    <w:abstractNumId w:val="5"/>
  </w:num>
  <w:num w:numId="4" w16cid:durableId="427315984">
    <w:abstractNumId w:val="4"/>
  </w:num>
  <w:num w:numId="5" w16cid:durableId="1536429897">
    <w:abstractNumId w:val="7"/>
  </w:num>
  <w:num w:numId="6" w16cid:durableId="382406903">
    <w:abstractNumId w:val="3"/>
  </w:num>
  <w:num w:numId="7" w16cid:durableId="1123499111">
    <w:abstractNumId w:val="2"/>
  </w:num>
  <w:num w:numId="8" w16cid:durableId="1536190692">
    <w:abstractNumId w:val="1"/>
  </w:num>
  <w:num w:numId="9" w16cid:durableId="144260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02A"/>
    <w:rsid w:val="0015074B"/>
    <w:rsid w:val="0029639D"/>
    <w:rsid w:val="00326F90"/>
    <w:rsid w:val="00465D09"/>
    <w:rsid w:val="004D2F77"/>
    <w:rsid w:val="00637867"/>
    <w:rsid w:val="00754B81"/>
    <w:rsid w:val="00826849"/>
    <w:rsid w:val="00AA1D8D"/>
    <w:rsid w:val="00B47730"/>
    <w:rsid w:val="00C823A2"/>
    <w:rsid w:val="00CB0664"/>
    <w:rsid w:val="00FC693F"/>
    <w:rsid w:val="00FE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1F9D4F"/>
  <w14:defaultImageDpi w14:val="300"/>
  <w15:docId w15:val="{1CCC9471-7BEA-4C58-847C-8E74C7D6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7365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16</Pages>
  <Words>3365</Words>
  <Characters>19181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PICCS Guided Workbook</dc:title>
  <dc:subject>PICCS workbook with explanations for every section and table</dc:subject>
  <dc:creator/>
  <cp:keywords/>
  <dc:description>generated by python-docx</dc:description>
  <cp:lastModifiedBy>Mohammed Junaid</cp:lastModifiedBy>
  <cp:revision>4</cp:revision>
  <dcterms:created xsi:type="dcterms:W3CDTF">2013-12-23T23:15:00Z</dcterms:created>
  <dcterms:modified xsi:type="dcterms:W3CDTF">2026-08-02T16:10:00Z</dcterms:modified>
  <cp:category/>
</cp:coreProperties>
</file>